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600710</wp:posOffset>
            </wp:positionH>
            <wp:positionV relativeFrom="page">
              <wp:posOffset>763905</wp:posOffset>
            </wp:positionV>
            <wp:extent cx="680339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3390" cy="165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3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October 20, 2025</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CAPITAL ONE FINANCIAL CORPORATION</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0"/>
          <w:szCs w:val="10"/>
          <w:color w:val="auto"/>
        </w:rPr>
        <w:t>____________________________________</w:t>
      </w:r>
    </w:p>
    <w:p>
      <w:pPr>
        <w:spacing w:after="0" w:line="109" w:lineRule="exact"/>
        <w:rPr>
          <w:sz w:val="24"/>
          <w:szCs w:val="24"/>
          <w:color w:val="auto"/>
        </w:rPr>
      </w:pPr>
    </w:p>
    <w:tbl>
      <w:tblPr>
        <w:tblLayout w:type="fixed"/>
        <w:tblInd w:w="680" w:type="dxa"/>
        <w:tblCellMar>
          <w:top w:w="0" w:type="dxa"/>
          <w:left w:w="0" w:type="dxa"/>
          <w:bottom w:w="0" w:type="dxa"/>
          <w:right w:w="0" w:type="dxa"/>
        </w:tblCellMar>
      </w:tblPr>
      <w:tr>
        <w:trPr>
          <w:trHeight w:val="183"/>
        </w:trPr>
        <w:tc>
          <w:tcPr>
            <w:tcW w:w="2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4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001-13300</w:t>
            </w:r>
          </w:p>
        </w:tc>
        <w:tc>
          <w:tcPr>
            <w:tcW w:w="23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54-1719854</w:t>
            </w:r>
          </w:p>
        </w:tc>
      </w:tr>
      <w:tr>
        <w:trPr>
          <w:trHeight w:val="194"/>
        </w:trPr>
        <w:tc>
          <w:tcPr>
            <w:tcW w:w="278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w:t>
            </w:r>
          </w:p>
        </w:tc>
        <w:tc>
          <w:tcPr>
            <w:tcW w:w="44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2320" w:type="dxa"/>
            <w:vAlign w:val="bottom"/>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No.)</w:t>
            </w:r>
          </w:p>
        </w:tc>
      </w:tr>
      <w:tr>
        <w:trPr>
          <w:trHeight w:val="194"/>
        </w:trPr>
        <w:tc>
          <w:tcPr>
            <w:tcW w:w="2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1680 Capital One Drive,</w:t>
            </w:r>
          </w:p>
        </w:tc>
        <w:tc>
          <w:tcPr>
            <w:tcW w:w="44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94"/>
        </w:trPr>
        <w:tc>
          <w:tcPr>
            <w:tcW w:w="27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McLean, Virginia</w:t>
            </w:r>
          </w:p>
        </w:tc>
        <w:tc>
          <w:tcPr>
            <w:tcW w:w="4480" w:type="dxa"/>
            <w:vAlign w:val="bottom"/>
          </w:tcPr>
          <w:p>
            <w:pPr>
              <w:spacing w:after="0"/>
              <w:rPr>
                <w:sz w:val="16"/>
                <w:szCs w:val="16"/>
                <w:color w:val="auto"/>
              </w:rPr>
            </w:pPr>
          </w:p>
        </w:tc>
        <w:tc>
          <w:tcPr>
            <w:tcW w:w="232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22102</w:t>
            </w:r>
          </w:p>
        </w:tc>
      </w:tr>
      <w:tr>
        <w:trPr>
          <w:trHeight w:val="194"/>
        </w:trPr>
        <w:tc>
          <w:tcPr>
            <w:tcW w:w="2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4480" w:type="dxa"/>
            <w:vAlign w:val="bottom"/>
          </w:tcPr>
          <w:p>
            <w:pPr>
              <w:spacing w:after="0"/>
              <w:rPr>
                <w:sz w:val="16"/>
                <w:szCs w:val="16"/>
                <w:color w:val="auto"/>
              </w:rPr>
            </w:pPr>
          </w:p>
        </w:tc>
        <w:tc>
          <w:tcPr>
            <w:tcW w:w="2320" w:type="dxa"/>
            <w:vAlign w:val="bottom"/>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72"/>
        </w:trPr>
        <w:tc>
          <w:tcPr>
            <w:tcW w:w="2780" w:type="dxa"/>
            <w:vAlign w:val="bottom"/>
          </w:tcPr>
          <w:p>
            <w:pPr>
              <w:spacing w:after="0"/>
              <w:rPr>
                <w:sz w:val="23"/>
                <w:szCs w:val="23"/>
                <w:color w:val="auto"/>
              </w:rPr>
            </w:pPr>
          </w:p>
        </w:tc>
        <w:tc>
          <w:tcPr>
            <w:tcW w:w="44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 (703) 720-1000</w:t>
            </w:r>
          </w:p>
        </w:tc>
        <w:tc>
          <w:tcPr>
            <w:tcW w:w="2320" w:type="dxa"/>
            <w:vAlign w:val="bottom"/>
          </w:tcPr>
          <w:p>
            <w:pPr>
              <w:spacing w:after="0"/>
              <w:rPr>
                <w:sz w:val="23"/>
                <w:szCs w:val="23"/>
                <w:color w:val="auto"/>
              </w:rPr>
            </w:pPr>
          </w:p>
        </w:tc>
      </w:tr>
      <w:tr>
        <w:trPr>
          <w:trHeight w:val="193"/>
        </w:trPr>
        <w:tc>
          <w:tcPr>
            <w:tcW w:w="2780" w:type="dxa"/>
            <w:vAlign w:val="bottom"/>
          </w:tcPr>
          <w:p>
            <w:pPr>
              <w:spacing w:after="0"/>
              <w:rPr>
                <w:sz w:val="16"/>
                <w:szCs w:val="16"/>
                <w:color w:val="auto"/>
              </w:rPr>
            </w:pPr>
          </w:p>
        </w:tc>
        <w:tc>
          <w:tcPr>
            <w:tcW w:w="44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(Not applicable)</w:t>
            </w:r>
          </w:p>
        </w:tc>
        <w:tc>
          <w:tcPr>
            <w:tcW w:w="2320" w:type="dxa"/>
            <w:vAlign w:val="bottom"/>
          </w:tcPr>
          <w:p>
            <w:pPr>
              <w:spacing w:after="0"/>
              <w:rPr>
                <w:sz w:val="16"/>
                <w:szCs w:val="16"/>
                <w:color w:val="auto"/>
              </w:rPr>
            </w:pPr>
          </w:p>
        </w:tc>
      </w:tr>
      <w:tr>
        <w:trPr>
          <w:trHeight w:val="179"/>
        </w:trPr>
        <w:tc>
          <w:tcPr>
            <w:tcW w:w="2780" w:type="dxa"/>
            <w:vAlign w:val="bottom"/>
          </w:tcPr>
          <w:p>
            <w:pPr>
              <w:spacing w:after="0"/>
              <w:rPr>
                <w:sz w:val="15"/>
                <w:szCs w:val="15"/>
                <w:color w:val="auto"/>
              </w:rPr>
            </w:pPr>
          </w:p>
        </w:tc>
        <w:tc>
          <w:tcPr>
            <w:tcW w:w="44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2320" w:type="dxa"/>
            <w:vAlign w:val="bottom"/>
          </w:tcPr>
          <w:p>
            <w:pPr>
              <w:spacing w:after="0"/>
              <w:rPr>
                <w:sz w:val="15"/>
                <w:szCs w:val="15"/>
                <w:color w:val="auto"/>
              </w:rPr>
            </w:pPr>
          </w:p>
        </w:tc>
      </w:tr>
      <w:tr>
        <w:trPr>
          <w:trHeight w:val="134"/>
        </w:trPr>
        <w:tc>
          <w:tcPr>
            <w:tcW w:w="2780" w:type="dxa"/>
            <w:vAlign w:val="bottom"/>
          </w:tcPr>
          <w:p>
            <w:pPr>
              <w:spacing w:after="0"/>
              <w:rPr>
                <w:sz w:val="11"/>
                <w:szCs w:val="11"/>
                <w:color w:val="auto"/>
              </w:rPr>
            </w:pPr>
          </w:p>
        </w:tc>
        <w:tc>
          <w:tcPr>
            <w:tcW w:w="4480" w:type="dxa"/>
            <w:vAlign w:val="bottom"/>
          </w:tcPr>
          <w:p>
            <w:pPr>
              <w:jc w:val="center"/>
              <w:ind w:right="74"/>
              <w:spacing w:after="0"/>
              <w:rPr>
                <w:sz w:val="20"/>
                <w:szCs w:val="20"/>
                <w:color w:val="auto"/>
              </w:rPr>
            </w:pPr>
            <w:r>
              <w:rPr>
                <w:rFonts w:ascii="Times New Roman" w:cs="Times New Roman" w:eastAsia="Times New Roman" w:hAnsi="Times New Roman"/>
                <w:sz w:val="10"/>
                <w:szCs w:val="10"/>
                <w:color w:val="auto"/>
              </w:rPr>
              <w:t>____________________________________</w:t>
            </w:r>
          </w:p>
        </w:tc>
        <w:tc>
          <w:tcPr>
            <w:tcW w:w="2320" w:type="dxa"/>
            <w:vAlign w:val="bottom"/>
          </w:tcPr>
          <w:p>
            <w:pPr>
              <w:spacing w:after="0"/>
              <w:rPr>
                <w:sz w:val="11"/>
                <w:szCs w:val="11"/>
                <w:color w:val="auto"/>
              </w:rPr>
            </w:pPr>
          </w:p>
        </w:tc>
      </w:tr>
    </w:tbl>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99" w:lineRule="exact"/>
        <w:rPr>
          <w:sz w:val="24"/>
          <w:szCs w:val="24"/>
          <w:color w:val="auto"/>
        </w:rPr>
      </w:pPr>
    </w:p>
    <w:p>
      <w:pPr>
        <w:ind w:left="300" w:hanging="257"/>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6" w:lineRule="exact"/>
        <w:rPr>
          <w:rFonts w:ascii="MS PGothic" w:cs="MS PGothic" w:eastAsia="MS PGothic" w:hAnsi="MS PGothic"/>
          <w:sz w:val="14"/>
          <w:szCs w:val="14"/>
          <w:color w:val="auto"/>
        </w:rPr>
      </w:pPr>
    </w:p>
    <w:p>
      <w:pPr>
        <w:ind w:left="320" w:hanging="277"/>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0" w:lineRule="exact"/>
        <w:rPr>
          <w:rFonts w:ascii="MS PGothic" w:cs="MS PGothic" w:eastAsia="MS PGothic" w:hAnsi="MS PGothic"/>
          <w:sz w:val="14"/>
          <w:szCs w:val="14"/>
          <w:color w:val="auto"/>
        </w:rPr>
      </w:pPr>
    </w:p>
    <w:p>
      <w:pPr>
        <w:ind w:left="320" w:hanging="277"/>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0" w:lineRule="exact"/>
        <w:rPr>
          <w:rFonts w:ascii="MS PGothic" w:cs="MS PGothic" w:eastAsia="MS PGothic" w:hAnsi="MS PGothic"/>
          <w:sz w:val="14"/>
          <w:szCs w:val="14"/>
          <w:color w:val="auto"/>
        </w:rPr>
      </w:pPr>
    </w:p>
    <w:p>
      <w:pPr>
        <w:ind w:left="320" w:hanging="277"/>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23" w:lineRule="exact"/>
        <w:rPr>
          <w:sz w:val="24"/>
          <w:szCs w:val="24"/>
          <w:color w:val="auto"/>
        </w:rPr>
      </w:pPr>
    </w:p>
    <w:tbl>
      <w:tblPr>
        <w:tblLayout w:type="fixed"/>
        <w:tblInd w:w="240" w:type="dxa"/>
        <w:tblCellMar>
          <w:top w:w="0" w:type="dxa"/>
          <w:left w:w="0" w:type="dxa"/>
          <w:bottom w:w="0" w:type="dxa"/>
          <w:right w:w="0" w:type="dxa"/>
        </w:tblCellMar>
      </w:tblPr>
      <w:tr>
        <w:trPr>
          <w:trHeight w:val="183"/>
        </w:trPr>
        <w:tc>
          <w:tcPr>
            <w:tcW w:w="7600" w:type="dxa"/>
            <w:vAlign w:val="bottom"/>
          </w:tcPr>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9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600" w:type="dxa"/>
            <w:vAlign w:val="bottom"/>
            <w:vMerge w:val="restart"/>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w:t>
            </w:r>
          </w:p>
        </w:tc>
        <w:tc>
          <w:tcPr>
            <w:tcW w:w="0" w:type="dxa"/>
            <w:vAlign w:val="bottom"/>
          </w:tcPr>
          <w:p>
            <w:pPr>
              <w:spacing w:after="0"/>
              <w:rPr>
                <w:sz w:val="1"/>
                <w:szCs w:val="1"/>
                <w:color w:val="auto"/>
              </w:rPr>
            </w:pPr>
          </w:p>
        </w:tc>
      </w:tr>
      <w:tr>
        <w:trPr>
          <w:trHeight w:val="183"/>
        </w:trPr>
        <w:tc>
          <w:tcPr>
            <w:tcW w:w="76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0" w:type="dxa"/>
            <w:vAlign w:val="bottom"/>
          </w:tcPr>
          <w:p>
            <w:pPr>
              <w:spacing w:after="0"/>
              <w:rPr>
                <w:sz w:val="1"/>
                <w:szCs w:val="1"/>
                <w:color w:val="auto"/>
              </w:rPr>
            </w:pPr>
          </w:p>
        </w:tc>
      </w:tr>
      <w:tr>
        <w:trPr>
          <w:trHeight w:val="182"/>
        </w:trPr>
        <w:tc>
          <w:tcPr>
            <w:tcW w:w="76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8"/>
              </w:rPr>
              <w:t>Common Stock (par value $.01 per share)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COF</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8"/>
              </w:rPr>
              <w:t>New York Stock Exchange</w:t>
            </w:r>
          </w:p>
        </w:tc>
        <w:tc>
          <w:tcPr>
            <w:tcW w:w="0" w:type="dxa"/>
            <w:vAlign w:val="bottom"/>
          </w:tcPr>
          <w:p>
            <w:pPr>
              <w:spacing w:after="0"/>
              <w:rPr>
                <w:sz w:val="1"/>
                <w:szCs w:val="1"/>
                <w:color w:val="auto"/>
              </w:rPr>
            </w:pPr>
          </w:p>
        </w:tc>
      </w:tr>
      <w:tr>
        <w:trPr>
          <w:trHeight w:val="207"/>
        </w:trPr>
        <w:tc>
          <w:tcPr>
            <w:tcW w:w="76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8"/>
              </w:rPr>
              <w:t>Depositary Shares, Each Representing a 1/40th Interest in a Share of Fixed Rate Non-Cumulative Perpetual Preferred Stock, Series I</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COF PRI</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8"/>
              </w:rPr>
              <w:t>New York Stock Exchange</w:t>
            </w:r>
          </w:p>
        </w:tc>
        <w:tc>
          <w:tcPr>
            <w:tcW w:w="0" w:type="dxa"/>
            <w:vAlign w:val="bottom"/>
          </w:tcPr>
          <w:p>
            <w:pPr>
              <w:spacing w:after="0"/>
              <w:rPr>
                <w:sz w:val="1"/>
                <w:szCs w:val="1"/>
                <w:color w:val="auto"/>
              </w:rPr>
            </w:pPr>
          </w:p>
        </w:tc>
      </w:tr>
      <w:tr>
        <w:trPr>
          <w:trHeight w:val="207"/>
        </w:trPr>
        <w:tc>
          <w:tcPr>
            <w:tcW w:w="76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8"/>
              </w:rPr>
              <w:t>Depositary Shares, Each Representing a 1/40th Interest in a Share of Fixed Rate Non-Cumulative Perpetual Preferred Stock, Series J</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COF PRJ</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8"/>
              </w:rPr>
              <w:t>New York Stock Exchange</w:t>
            </w:r>
          </w:p>
        </w:tc>
        <w:tc>
          <w:tcPr>
            <w:tcW w:w="0" w:type="dxa"/>
            <w:vAlign w:val="bottom"/>
          </w:tcPr>
          <w:p>
            <w:pPr>
              <w:spacing w:after="0"/>
              <w:rPr>
                <w:sz w:val="1"/>
                <w:szCs w:val="1"/>
                <w:color w:val="auto"/>
              </w:rPr>
            </w:pPr>
          </w:p>
        </w:tc>
      </w:tr>
      <w:tr>
        <w:trPr>
          <w:trHeight w:val="207"/>
        </w:trPr>
        <w:tc>
          <w:tcPr>
            <w:tcW w:w="76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8"/>
              </w:rPr>
              <w:t>Depositary Shares, Each Representing a 1/40th Interest in a Share of Fixed Rate Non-Cumulative Perpetual Preferred Stock, Series K</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COF PRK</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8"/>
              </w:rPr>
              <w:t>New York Stock Exchange</w:t>
            </w:r>
          </w:p>
        </w:tc>
        <w:tc>
          <w:tcPr>
            <w:tcW w:w="0" w:type="dxa"/>
            <w:vAlign w:val="bottom"/>
          </w:tcPr>
          <w:p>
            <w:pPr>
              <w:spacing w:after="0"/>
              <w:rPr>
                <w:sz w:val="1"/>
                <w:szCs w:val="1"/>
                <w:color w:val="auto"/>
              </w:rPr>
            </w:pPr>
          </w:p>
        </w:tc>
      </w:tr>
      <w:tr>
        <w:trPr>
          <w:trHeight w:val="207"/>
        </w:trPr>
        <w:tc>
          <w:tcPr>
            <w:tcW w:w="76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8"/>
              </w:rPr>
              <w:t>Depositary Shares, Each Representing a 1/40th Interest in a Share of Fixed Rate Non-Cumulative Perpetual Preferred Stock, Series L</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COF PRL</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8"/>
              </w:rPr>
              <w:t>New York Stock Exchange</w:t>
            </w:r>
          </w:p>
        </w:tc>
        <w:tc>
          <w:tcPr>
            <w:tcW w:w="0" w:type="dxa"/>
            <w:vAlign w:val="bottom"/>
          </w:tcPr>
          <w:p>
            <w:pPr>
              <w:spacing w:after="0"/>
              <w:rPr>
                <w:sz w:val="1"/>
                <w:szCs w:val="1"/>
                <w:color w:val="auto"/>
              </w:rPr>
            </w:pPr>
          </w:p>
        </w:tc>
      </w:tr>
      <w:tr>
        <w:trPr>
          <w:trHeight w:val="207"/>
        </w:trPr>
        <w:tc>
          <w:tcPr>
            <w:tcW w:w="76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8"/>
              </w:rPr>
              <w:t>Depositary Shares, Each Representing a 1/40th Interest in a Share of Fixed Rate Non-Cumulative Perpetual Preferred Stock, Series 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COF PRN</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8"/>
              </w:rPr>
              <w:t>New York Stock Exchange</w:t>
            </w:r>
          </w:p>
        </w:tc>
        <w:tc>
          <w:tcPr>
            <w:tcW w:w="0" w:type="dxa"/>
            <w:vAlign w:val="bottom"/>
          </w:tcPr>
          <w:p>
            <w:pPr>
              <w:spacing w:after="0"/>
              <w:rPr>
                <w:sz w:val="1"/>
                <w:szCs w:val="1"/>
                <w:color w:val="auto"/>
              </w:rPr>
            </w:pPr>
          </w:p>
        </w:tc>
      </w:tr>
      <w:tr>
        <w:trPr>
          <w:trHeight w:val="207"/>
        </w:trPr>
        <w:tc>
          <w:tcPr>
            <w:tcW w:w="760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7"/>
              </w:rPr>
              <w:t>1.650% Senior Notes Due 2029</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COF29</w:t>
            </w:r>
          </w:p>
        </w:tc>
        <w:tc>
          <w:tcPr>
            <w:tcW w:w="224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8"/>
              </w:rPr>
              <w:t>New York Stock Exchange</w:t>
            </w:r>
          </w:p>
        </w:tc>
        <w:tc>
          <w:tcPr>
            <w:tcW w:w="0" w:type="dxa"/>
            <w:vAlign w:val="bottom"/>
          </w:tcPr>
          <w:p>
            <w:pPr>
              <w:spacing w:after="0"/>
              <w:rPr>
                <w:sz w:val="1"/>
                <w:szCs w:val="1"/>
                <w:color w:val="auto"/>
              </w:rPr>
            </w:pPr>
          </w:p>
        </w:tc>
      </w:tr>
    </w:tbl>
    <w:p>
      <w:pPr>
        <w:spacing w:after="0" w:line="10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tabs>
          <w:tab w:leader="none" w:pos="16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1"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655955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43180</wp:posOffset>
            </wp:positionV>
            <wp:extent cx="70885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850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October 21, 2025, Capital One Financial Corporation (the “Company”) issued a press release announcing its financial results for the third quarter ended September 30, 2025. Copies of the Company’s press release and financial supplement are attached and furnished herewith as Exhibits 99.1 and 99.2 to this Form 8-K and are incorporated herein by reference.</w:t>
      </w:r>
    </w:p>
    <w:p>
      <w:pPr>
        <w:spacing w:after="0" w:line="18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Note: </w:t>
      </w:r>
      <w:r>
        <w:rPr>
          <w:rFonts w:ascii="Times New Roman" w:cs="Times New Roman" w:eastAsia="Times New Roman" w:hAnsi="Times New Roman"/>
          <w:sz w:val="17"/>
          <w:szCs w:val="17"/>
          <w:color w:val="auto"/>
        </w:rPr>
        <w:t>Information in this report (including Exhibits 99.1 and 99.2) furnished pursuant to Item 2.02 shall not be deemed to be “filed” for the purposes of Section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18 of the Securities Exchange Act of 1934 or otherwise subject to the liabilities of that Section.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October 20, 2025, the Company authorized the repurchase of up to $16 billion of shares of its common stock. This new authorization replaces the Company’s prior authorization to repurchase its common stock approved by the Board on April 1, 2022. Repurchases under the new share repurchase program are authorized to begin on October 21, 2025.</w:t>
      </w:r>
    </w:p>
    <w:p>
      <w:pPr>
        <w:spacing w:after="0" w:line="18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The timing and exact amount of any common stock repurchases will depend on various factors, including market conditions, opportunities for growth and the Company’s capital position and amount of retained earnings, as well as regulatory considerations. The Company’s share repurchase program does not include specific price targets or number of shares, may be executed through open market purchases or privately negotiated transactions, including utilizing Rule 10b5-1 plans, and may be modified, suspended or terminated at any time.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7"/>
        </w:trPr>
        <w:tc>
          <w:tcPr>
            <w:tcW w:w="14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7"/>
                <w:szCs w:val="17"/>
                <w:color w:val="auto"/>
              </w:rPr>
              <w:t>99.1</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140" w:type="dxa"/>
            <w:vAlign w:val="bottom"/>
            <w:tcBorders>
              <w:top w:val="single" w:sz="8" w:color="auto"/>
              <w:bottom w:val="single" w:sz="8" w:color="0000FF"/>
            </w:tcBorders>
            <w:gridSpan w:val="2"/>
          </w:tcPr>
          <w:p>
            <w:pPr>
              <w:spacing w:after="0" w:line="177" w:lineRule="exact"/>
              <w:rPr>
                <w:sz w:val="20"/>
                <w:szCs w:val="20"/>
                <w:color w:val="auto"/>
              </w:rPr>
            </w:pPr>
            <w:r>
              <w:rPr>
                <w:rFonts w:ascii="Times New Roman" w:cs="Times New Roman" w:eastAsia="Times New Roman" w:hAnsi="Times New Roman"/>
                <w:sz w:val="17"/>
                <w:szCs w:val="17"/>
                <w:color w:val="0000FF"/>
              </w:rPr>
              <w:t>Press Release, dated October 21, 2025 - Third Quarter 2025</w:t>
            </w:r>
          </w:p>
        </w:tc>
        <w:tc>
          <w:tcPr>
            <w:tcW w:w="5540" w:type="dxa"/>
            <w:vAlign w:val="bottom"/>
            <w:tcBorders>
              <w:top w:val="single" w:sz="8" w:color="auto"/>
            </w:tcBorders>
          </w:tcPr>
          <w:p>
            <w:pPr>
              <w:spacing w:after="0"/>
              <w:rPr>
                <w:sz w:val="15"/>
                <w:szCs w:val="15"/>
                <w:color w:val="auto"/>
              </w:rPr>
            </w:pPr>
          </w:p>
        </w:tc>
      </w:tr>
      <w:tr>
        <w:trPr>
          <w:trHeight w:val="200"/>
        </w:trPr>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Financial Supplement - Third Quarter 2025</w:t>
            </w:r>
          </w:p>
        </w:tc>
        <w:tc>
          <w:tcPr>
            <w:tcW w:w="6680" w:type="dxa"/>
            <w:vAlign w:val="bottom"/>
            <w:gridSpan w:val="2"/>
          </w:tcPr>
          <w:p>
            <w:pPr>
              <w:spacing w:after="0"/>
              <w:rPr>
                <w:sz w:val="17"/>
                <w:szCs w:val="17"/>
                <w:color w:val="auto"/>
              </w:rPr>
            </w:pPr>
          </w:p>
        </w:tc>
      </w:tr>
      <w:tr>
        <w:trPr>
          <w:trHeight w:val="239"/>
        </w:trPr>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cover page from this Current Report on Form 8-K, formatted in Inline XBRL</w:t>
            </w: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Conference Call Webcast Information.</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will hold an earnings conference call on October 21, 2025 at 5:00 PM Eastern Time. The conference call will be accessible through live webcast. Interested investors and other individuals can access the webcast via the Company’s home page (www.capitalone.com). Under “About,” choose “Investors” to access the Investor Center and view and/or download the earnings press release, the financial supplement, including a reconciliation of non-GAAP financial measures, and the earnings release presentation. A replay of the webcast will be archived on the Company’s website through November 4, 2025 at 5:00 PM Eastern Time.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3" w:name="page4"/>
    <w:bookmarkEnd w:id="3"/>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Current Report on Form 8-K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360" w:type="dxa"/>
            <w:vAlign w:val="bottom"/>
          </w:tcPr>
          <w:p>
            <w:pPr>
              <w:spacing w:after="0"/>
              <w:rPr>
                <w:sz w:val="19"/>
                <w:szCs w:val="19"/>
                <w:color w:val="auto"/>
              </w:rPr>
            </w:pPr>
          </w:p>
        </w:tc>
        <w:tc>
          <w:tcPr>
            <w:tcW w:w="7860" w:type="dxa"/>
            <w:vAlign w:val="bottom"/>
            <w:gridSpan w:val="2"/>
          </w:tcPr>
          <w:p>
            <w:pPr>
              <w:ind w:left="1740"/>
              <w:spacing w:after="0"/>
              <w:rPr>
                <w:sz w:val="20"/>
                <w:szCs w:val="20"/>
                <w:color w:val="auto"/>
              </w:rPr>
            </w:pPr>
            <w:r>
              <w:rPr>
                <w:rFonts w:ascii="Times New Roman" w:cs="Times New Roman" w:eastAsia="Times New Roman" w:hAnsi="Times New Roman"/>
                <w:sz w:val="17"/>
                <w:szCs w:val="17"/>
                <w:b w:val="1"/>
                <w:bCs w:val="1"/>
                <w:color w:val="auto"/>
              </w:rPr>
              <w:t>CAPITAL ONE FINANCIAL CORPORATION</w:t>
            </w:r>
          </w:p>
        </w:tc>
      </w:tr>
      <w:tr>
        <w:trPr>
          <w:trHeight w:val="428"/>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21, 2025</w:t>
            </w:r>
          </w:p>
        </w:tc>
        <w:tc>
          <w:tcPr>
            <w:tcW w:w="7860" w:type="dxa"/>
            <w:vAlign w:val="bottom"/>
            <w:gridSpan w:val="2"/>
          </w:tcPr>
          <w:p>
            <w:pPr>
              <w:ind w:left="1740"/>
              <w:spacing w:after="0"/>
              <w:rPr>
                <w:sz w:val="20"/>
                <w:szCs w:val="20"/>
                <w:color w:val="auto"/>
              </w:rPr>
            </w:pPr>
            <w:r>
              <w:rPr>
                <w:rFonts w:ascii="Times New Roman" w:cs="Times New Roman" w:eastAsia="Times New Roman" w:hAnsi="Times New Roman"/>
                <w:sz w:val="17"/>
                <w:szCs w:val="17"/>
                <w:color w:val="auto"/>
              </w:rPr>
              <w:t>By:   /s/ TIMOTHY P. GOLDEN</w:t>
            </w:r>
          </w:p>
        </w:tc>
      </w:tr>
      <w:tr>
        <w:trPr>
          <w:trHeight w:val="208"/>
        </w:trPr>
        <w:tc>
          <w:tcPr>
            <w:tcW w:w="3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Timothy P. Golden</w:t>
            </w:r>
          </w:p>
        </w:tc>
      </w:tr>
      <w:tr>
        <w:trPr>
          <w:trHeight w:val="226"/>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SVP,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1"/>
          <w:szCs w:val="31"/>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2313305" cy="831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330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640" w:type="dxa"/>
        <w:tblCellMar>
          <w:top w:w="0" w:type="dxa"/>
          <w:left w:w="0" w:type="dxa"/>
          <w:bottom w:w="0" w:type="dxa"/>
          <w:right w:w="0" w:type="dxa"/>
        </w:tblCellMar>
      </w:tblP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828282"/>
              </w:rPr>
              <w:t>Contacts:</w:t>
            </w:r>
          </w:p>
        </w:tc>
        <w:tc>
          <w:tcPr>
            <w:tcW w:w="27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2"/>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828282"/>
              </w:rPr>
              <w:t>Investor Relations</w:t>
            </w:r>
          </w:p>
        </w:tc>
        <w:tc>
          <w:tcPr>
            <w:tcW w:w="2760" w:type="dxa"/>
            <w:vAlign w:val="bottom"/>
          </w:tcPr>
          <w:p>
            <w:pPr>
              <w:spacing w:after="0"/>
              <w:rPr>
                <w:sz w:val="19"/>
                <w:szCs w:val="19"/>
                <w:color w:val="auto"/>
              </w:rPr>
            </w:pPr>
          </w:p>
        </w:tc>
        <w:tc>
          <w:tcPr>
            <w:tcW w:w="208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828282"/>
              </w:rPr>
              <w:t>Media Relations</w:t>
            </w:r>
          </w:p>
        </w:tc>
      </w:tr>
      <w:tr>
        <w:trPr>
          <w:trHeight w:val="225"/>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828282"/>
              </w:rPr>
              <w:t>Jeff Norris</w:t>
            </w:r>
          </w:p>
        </w:tc>
        <w:tc>
          <w:tcPr>
            <w:tcW w:w="2760" w:type="dxa"/>
            <w:vAlign w:val="bottom"/>
          </w:tcPr>
          <w:p>
            <w:pPr>
              <w:ind w:left="460"/>
              <w:spacing w:after="0"/>
              <w:rPr>
                <w:sz w:val="20"/>
                <w:szCs w:val="20"/>
                <w:color w:val="auto"/>
              </w:rPr>
            </w:pPr>
            <w:r>
              <w:rPr>
                <w:rFonts w:ascii="Times New Roman" w:cs="Times New Roman" w:eastAsia="Times New Roman" w:hAnsi="Times New Roman"/>
                <w:sz w:val="17"/>
                <w:szCs w:val="17"/>
                <w:color w:val="828282"/>
              </w:rPr>
              <w:t>Danielle Dietz</w:t>
            </w:r>
          </w:p>
        </w:tc>
        <w:tc>
          <w:tcPr>
            <w:tcW w:w="2080" w:type="dxa"/>
            <w:vAlign w:val="bottom"/>
          </w:tcPr>
          <w:p>
            <w:pPr>
              <w:ind w:left="360"/>
              <w:spacing w:after="0"/>
              <w:rPr>
                <w:sz w:val="20"/>
                <w:szCs w:val="20"/>
                <w:color w:val="auto"/>
              </w:rPr>
            </w:pPr>
            <w:r>
              <w:rPr>
                <w:rFonts w:ascii="Times New Roman" w:cs="Times New Roman" w:eastAsia="Times New Roman" w:hAnsi="Times New Roman"/>
                <w:sz w:val="17"/>
                <w:szCs w:val="17"/>
                <w:color w:val="828282"/>
              </w:rPr>
              <w:t>Sie Soheili</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828282"/>
              </w:rPr>
              <w:t>jeff.norris@capitalone.com</w:t>
            </w:r>
          </w:p>
        </w:tc>
        <w:tc>
          <w:tcPr>
            <w:tcW w:w="2760" w:type="dxa"/>
            <w:vAlign w:val="bottom"/>
          </w:tcPr>
          <w:p>
            <w:pPr>
              <w:ind w:left="460"/>
              <w:spacing w:after="0"/>
              <w:rPr>
                <w:sz w:val="20"/>
                <w:szCs w:val="20"/>
                <w:color w:val="auto"/>
              </w:rPr>
            </w:pPr>
            <w:r>
              <w:rPr>
                <w:rFonts w:ascii="Times New Roman" w:cs="Times New Roman" w:eastAsia="Times New Roman" w:hAnsi="Times New Roman"/>
                <w:sz w:val="16"/>
                <w:szCs w:val="16"/>
                <w:color w:val="828282"/>
              </w:rPr>
              <w:t>danielle.dietz@capitalone.com</w:t>
            </w:r>
          </w:p>
        </w:tc>
        <w:tc>
          <w:tcPr>
            <w:tcW w:w="2080" w:type="dxa"/>
            <w:vAlign w:val="bottom"/>
          </w:tcPr>
          <w:p>
            <w:pPr>
              <w:ind w:left="360"/>
              <w:spacing w:after="0"/>
              <w:rPr>
                <w:sz w:val="20"/>
                <w:szCs w:val="20"/>
                <w:color w:val="auto"/>
              </w:rPr>
            </w:pPr>
            <w:r>
              <w:rPr>
                <w:rFonts w:ascii="Times New Roman" w:cs="Times New Roman" w:eastAsia="Times New Roman" w:hAnsi="Times New Roman"/>
                <w:sz w:val="16"/>
                <w:szCs w:val="16"/>
                <w:color w:val="828282"/>
                <w:w w:val="96"/>
              </w:rPr>
              <w:t>sie.soheili@capitalone.com</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FOR IMMEDIATE RELEASE: </w:t>
      </w:r>
      <w:r>
        <w:rPr>
          <w:rFonts w:ascii="Times New Roman" w:cs="Times New Roman" w:eastAsia="Times New Roman" w:hAnsi="Times New Roman"/>
          <w:sz w:val="17"/>
          <w:szCs w:val="17"/>
          <w:color w:val="auto"/>
        </w:rPr>
        <w:t>October 21, 2025</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Capital One Reports Third Quarter 2025 Net Income of $3.2 billion,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or $4.83 per share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 xml:space="preserve">Net of adjusting items, Third Quarter 2025 Net Income of </w:t>
      </w:r>
      <w:r>
        <w:rPr>
          <w:rFonts w:ascii="Times New Roman" w:cs="Times New Roman" w:eastAsia="Times New Roman" w:hAnsi="Times New Roman"/>
          <w:sz w:val="17"/>
          <w:szCs w:val="17"/>
          <w:color w:val="auto"/>
        </w:rPr>
        <w:t>$5.95</w:t>
      </w:r>
      <w:r>
        <w:rPr>
          <w:rFonts w:ascii="Times New Roman" w:cs="Times New Roman" w:eastAsia="Times New Roman" w:hAnsi="Times New Roman"/>
          <w:sz w:val="21"/>
          <w:szCs w:val="21"/>
          <w:i w:val="1"/>
          <w:iCs w:val="1"/>
          <w:color w:val="auto"/>
        </w:rPr>
        <w:t xml:space="preserve"> per share</w:t>
      </w:r>
      <w:r>
        <w:rPr>
          <w:rFonts w:ascii="Times New Roman" w:cs="Times New Roman" w:eastAsia="Times New Roman" w:hAnsi="Times New Roman"/>
          <w:sz w:val="26"/>
          <w:szCs w:val="26"/>
          <w:i w:val="1"/>
          <w:iCs w:val="1"/>
          <w:color w:val="auto"/>
          <w:vertAlign w:val="superscript"/>
        </w:rPr>
        <w:t>(1)</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b w:val="1"/>
          <w:bCs w:val="1"/>
          <w:color w:val="auto"/>
        </w:rPr>
        <w:t>McLean, Va. (</w:t>
      </w:r>
      <w:r>
        <w:rPr>
          <w:rFonts w:ascii="Times New Roman" w:cs="Times New Roman" w:eastAsia="Times New Roman" w:hAnsi="Times New Roman"/>
          <w:sz w:val="17"/>
          <w:szCs w:val="17"/>
          <w:color w:val="auto"/>
        </w:rPr>
        <w:t>October 21,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Capital One Financial Corporation (NYSE: COF) today announced net income for the third quarter of 2025 of $3.2 billion,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$4.83 per diluted common share, compared with net loss of $4.3 billion, or $(8.58) per diluted common share in the second quarter of 2025, and with net income of $1.8 billion, or $4.41 per diluted common share in the third quarter of 2024. Adjusted net income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for the third quarter of 2025 was $5.95 per diluted common share.</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the third quarter, our adjusted earnings, top-line growth, credit results, and capital generation continued to be strong," said Richard D. Fairbank, Founder, Chairman, and Chief Executive Officer. "The Discover integration continues to go well and we are well positioned to capitalize on the opportunities that lie in front of us."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quarter included the following adjusting items:</w:t>
      </w:r>
    </w:p>
    <w:p>
      <w:pPr>
        <w:spacing w:after="0" w:line="192" w:lineRule="exact"/>
        <w:rPr>
          <w:sz w:val="20"/>
          <w:szCs w:val="20"/>
          <w:color w:val="auto"/>
        </w:rPr>
      </w:pPr>
    </w:p>
    <w:tbl>
      <w:tblPr>
        <w:tblLayout w:type="fixed"/>
        <w:tblInd w:w="30" w:type="dxa"/>
        <w:tblCellMar>
          <w:top w:w="0" w:type="dxa"/>
          <w:left w:w="0" w:type="dxa"/>
          <w:bottom w:w="0" w:type="dxa"/>
          <w:right w:w="0" w:type="dxa"/>
        </w:tblCellMar>
      </w:tblPr>
      <w:tr>
        <w:trPr>
          <w:trHeight w:val="298"/>
        </w:trPr>
        <w:tc>
          <w:tcPr>
            <w:tcW w:w="81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millions, except per share data)</w:t>
            </w:r>
          </w:p>
        </w:tc>
        <w:tc>
          <w:tcPr>
            <w:tcW w:w="1120" w:type="dxa"/>
            <w:vAlign w:val="bottom"/>
            <w:tcBorders>
              <w:top w:val="single" w:sz="8" w:color="auto"/>
            </w:tcBorders>
            <w:shd w:val="clear" w:color="auto" w:fill="004977"/>
          </w:tcPr>
          <w:p>
            <w:pPr>
              <w:jc w:val="right"/>
              <w:ind w:right="17"/>
              <w:spacing w:after="0"/>
              <w:rPr>
                <w:sz w:val="20"/>
                <w:szCs w:val="20"/>
                <w:color w:val="auto"/>
              </w:rPr>
            </w:pPr>
            <w:r>
              <w:rPr>
                <w:rFonts w:ascii="Times New Roman" w:cs="Times New Roman" w:eastAsia="Times New Roman" w:hAnsi="Times New Roman"/>
                <w:sz w:val="16"/>
                <w:szCs w:val="16"/>
                <w:b w:val="1"/>
                <w:bCs w:val="1"/>
                <w:color w:val="FFFFFF"/>
              </w:rPr>
              <w:t>Pre-Tax</w:t>
            </w:r>
          </w:p>
        </w:tc>
        <w:tc>
          <w:tcPr>
            <w:tcW w:w="440" w:type="dxa"/>
            <w:vAlign w:val="bottom"/>
            <w:tcBorders>
              <w:top w:val="single" w:sz="8" w:color="auto"/>
              <w:right w:val="single" w:sz="8" w:color="auto"/>
            </w:tcBorders>
            <w:shd w:val="clear" w:color="auto" w:fill="004977"/>
          </w:tcPr>
          <w:p>
            <w:pPr>
              <w:spacing w:after="0"/>
              <w:rPr>
                <w:sz w:val="24"/>
                <w:szCs w:val="24"/>
                <w:color w:val="auto"/>
              </w:rPr>
            </w:pPr>
          </w:p>
        </w:tc>
        <w:tc>
          <w:tcPr>
            <w:tcW w:w="1580" w:type="dxa"/>
            <w:vAlign w:val="bottom"/>
            <w:tcBorders>
              <w:top w:val="single" w:sz="8" w:color="auto"/>
              <w:right w:val="single" w:sz="8" w:color="auto"/>
            </w:tcBorders>
            <w:gridSpan w:val="2"/>
            <w:shd w:val="clear" w:color="auto" w:fill="004977"/>
          </w:tcPr>
          <w:p>
            <w:pPr>
              <w:ind w:left="20"/>
              <w:spacing w:after="0"/>
              <w:rPr>
                <w:sz w:val="20"/>
                <w:szCs w:val="20"/>
                <w:color w:val="auto"/>
              </w:rPr>
            </w:pPr>
            <w:r>
              <w:rPr>
                <w:rFonts w:ascii="Times New Roman" w:cs="Times New Roman" w:eastAsia="Times New Roman" w:hAnsi="Times New Roman"/>
                <w:sz w:val="16"/>
                <w:szCs w:val="16"/>
                <w:b w:val="1"/>
                <w:bCs w:val="1"/>
                <w:color w:val="FFFFFF"/>
                <w:w w:val="97"/>
              </w:rPr>
              <w:t>After-Tax Diluted EPS</w:t>
            </w:r>
          </w:p>
        </w:tc>
        <w:tc>
          <w:tcPr>
            <w:tcW w:w="0" w:type="dxa"/>
            <w:vAlign w:val="bottom"/>
          </w:tcPr>
          <w:p>
            <w:pPr>
              <w:spacing w:after="0"/>
              <w:rPr>
                <w:sz w:val="1"/>
                <w:szCs w:val="1"/>
                <w:color w:val="auto"/>
              </w:rPr>
            </w:pPr>
          </w:p>
        </w:tc>
      </w:tr>
      <w:tr>
        <w:trPr>
          <w:trHeight w:val="206"/>
        </w:trPr>
        <w:tc>
          <w:tcPr>
            <w:tcW w:w="81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tcBorders>
            <w:shd w:val="clear" w:color="auto" w:fill="004977"/>
          </w:tcPr>
          <w:p>
            <w:pPr>
              <w:jc w:val="right"/>
              <w:ind w:right="37"/>
              <w:spacing w:after="0"/>
              <w:rPr>
                <w:sz w:val="20"/>
                <w:szCs w:val="20"/>
                <w:color w:val="auto"/>
              </w:rPr>
            </w:pPr>
            <w:r>
              <w:rPr>
                <w:rFonts w:ascii="Times New Roman" w:cs="Times New Roman" w:eastAsia="Times New Roman" w:hAnsi="Times New Roman"/>
                <w:sz w:val="16"/>
                <w:szCs w:val="16"/>
                <w:b w:val="1"/>
                <w:bCs w:val="1"/>
                <w:color w:val="FFFFFF"/>
              </w:rPr>
              <w:t>Impact</w:t>
            </w:r>
          </w:p>
        </w:tc>
        <w:tc>
          <w:tcPr>
            <w:tcW w:w="440" w:type="dxa"/>
            <w:vAlign w:val="bottom"/>
            <w:tcBorders>
              <w:bottom w:val="single" w:sz="8" w:color="auto"/>
              <w:right w:val="single" w:sz="8" w:color="auto"/>
            </w:tcBorders>
            <w:shd w:val="clear" w:color="auto" w:fill="004977"/>
          </w:tcPr>
          <w:p>
            <w:pPr>
              <w:spacing w:after="0"/>
              <w:rPr>
                <w:sz w:val="17"/>
                <w:szCs w:val="17"/>
                <w:color w:val="auto"/>
              </w:rPr>
            </w:pPr>
          </w:p>
        </w:tc>
        <w:tc>
          <w:tcPr>
            <w:tcW w:w="320" w:type="dxa"/>
            <w:vAlign w:val="bottom"/>
            <w:tcBorders>
              <w:bottom w:val="single" w:sz="8" w:color="auto"/>
            </w:tcBorders>
            <w:shd w:val="clear" w:color="auto" w:fill="004977"/>
          </w:tcPr>
          <w:p>
            <w:pPr>
              <w:spacing w:after="0"/>
              <w:rPr>
                <w:sz w:val="17"/>
                <w:szCs w:val="17"/>
                <w:color w:val="auto"/>
              </w:rPr>
            </w:pPr>
          </w:p>
        </w:tc>
        <w:tc>
          <w:tcPr>
            <w:tcW w:w="1260" w:type="dxa"/>
            <w:vAlign w:val="bottom"/>
            <w:tcBorders>
              <w:bottom w:val="single" w:sz="8" w:color="auto"/>
              <w:right w:val="single" w:sz="8" w:color="auto"/>
            </w:tcBorders>
            <w:shd w:val="clear" w:color="auto" w:fill="004977"/>
          </w:tcPr>
          <w:p>
            <w:pPr>
              <w:jc w:val="right"/>
              <w:ind w:right="496"/>
              <w:spacing w:after="0"/>
              <w:rPr>
                <w:sz w:val="20"/>
                <w:szCs w:val="20"/>
                <w:color w:val="auto"/>
              </w:rPr>
            </w:pPr>
            <w:r>
              <w:rPr>
                <w:rFonts w:ascii="Times New Roman" w:cs="Times New Roman" w:eastAsia="Times New Roman" w:hAnsi="Times New Roman"/>
                <w:sz w:val="16"/>
                <w:szCs w:val="16"/>
                <w:b w:val="1"/>
                <w:bCs w:val="1"/>
                <w:color w:val="FFFFFF"/>
              </w:rPr>
              <w:t>Impact</w:t>
            </w:r>
          </w:p>
        </w:tc>
        <w:tc>
          <w:tcPr>
            <w:tcW w:w="0" w:type="dxa"/>
            <w:vAlign w:val="bottom"/>
          </w:tcPr>
          <w:p>
            <w:pPr>
              <w:spacing w:after="0"/>
              <w:rPr>
                <w:sz w:val="1"/>
                <w:szCs w:val="1"/>
                <w:color w:val="auto"/>
              </w:rPr>
            </w:pPr>
          </w:p>
        </w:tc>
      </w:tr>
      <w:tr>
        <w:trPr>
          <w:trHeight w:val="215"/>
        </w:trPr>
        <w:tc>
          <w:tcPr>
            <w:tcW w:w="81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7"/>
                <w:szCs w:val="17"/>
                <w:color w:val="auto"/>
              </w:rPr>
              <w:t>Discover integration expenses</w:t>
            </w:r>
          </w:p>
        </w:tc>
        <w:tc>
          <w:tcPr>
            <w:tcW w:w="1120" w:type="dxa"/>
            <w:vAlign w:val="bottom"/>
            <w:tcBorders>
              <w:bottom w:val="single" w:sz="8" w:color="auto"/>
            </w:tcBorders>
            <w:shd w:val="clear" w:color="auto" w:fill="DBDBDB"/>
          </w:tcPr>
          <w:p>
            <w:pPr>
              <w:jc w:val="right"/>
              <w:ind w:right="9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348</w:t>
            </w:r>
          </w:p>
        </w:tc>
        <w:tc>
          <w:tcPr>
            <w:tcW w:w="320" w:type="dxa"/>
            <w:vAlign w:val="bottom"/>
            <w:tcBorders>
              <w:bottom w:val="single" w:sz="8" w:color="auto"/>
            </w:tcBorders>
            <w:shd w:val="clear" w:color="auto" w:fill="DBDBDB"/>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auto"/>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0.41</w:t>
            </w:r>
          </w:p>
        </w:tc>
        <w:tc>
          <w:tcPr>
            <w:tcW w:w="0" w:type="dxa"/>
            <w:vAlign w:val="bottom"/>
          </w:tcPr>
          <w:p>
            <w:pPr>
              <w:spacing w:after="0"/>
              <w:rPr>
                <w:sz w:val="1"/>
                <w:szCs w:val="1"/>
                <w:color w:val="auto"/>
              </w:rPr>
            </w:pPr>
          </w:p>
        </w:tc>
      </w:tr>
      <w:tr>
        <w:trPr>
          <w:trHeight w:val="213"/>
        </w:trPr>
        <w:tc>
          <w:tcPr>
            <w:tcW w:w="8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Discover intangible amortization expense</w:t>
            </w:r>
          </w:p>
        </w:tc>
        <w:tc>
          <w:tcPr>
            <w:tcW w:w="112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498</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0.59</w:t>
            </w:r>
          </w:p>
        </w:tc>
        <w:tc>
          <w:tcPr>
            <w:tcW w:w="0" w:type="dxa"/>
            <w:vAlign w:val="bottom"/>
          </w:tcPr>
          <w:p>
            <w:pPr>
              <w:spacing w:after="0"/>
              <w:rPr>
                <w:sz w:val="1"/>
                <w:szCs w:val="1"/>
                <w:color w:val="auto"/>
              </w:rPr>
            </w:pPr>
          </w:p>
        </w:tc>
      </w:tr>
      <w:tr>
        <w:trPr>
          <w:trHeight w:val="213"/>
        </w:trPr>
        <w:tc>
          <w:tcPr>
            <w:tcW w:w="81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7"/>
                <w:szCs w:val="17"/>
                <w:color w:val="auto"/>
              </w:rPr>
              <w:t>Discover loan and deposit fair value mark amortization</w:t>
            </w:r>
          </w:p>
        </w:tc>
        <w:tc>
          <w:tcPr>
            <w:tcW w:w="1120" w:type="dxa"/>
            <w:vAlign w:val="bottom"/>
            <w:tcBorders>
              <w:bottom w:val="single" w:sz="8" w:color="auto"/>
            </w:tcBorders>
            <w:shd w:val="clear" w:color="auto" w:fill="DBDBDB"/>
          </w:tcPr>
          <w:p>
            <w:pPr>
              <w:jc w:val="right"/>
              <w:ind w:right="9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105</w:t>
            </w:r>
          </w:p>
        </w:tc>
        <w:tc>
          <w:tcPr>
            <w:tcW w:w="320" w:type="dxa"/>
            <w:vAlign w:val="bottom"/>
            <w:tcBorders>
              <w:bottom w:val="single" w:sz="8" w:color="auto"/>
            </w:tcBorders>
            <w:shd w:val="clear" w:color="auto" w:fill="DBDBDB"/>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auto"/>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0.12</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Capital One Third Quarter 2025 Earnings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comparisons below are for the third quarter of 2025 compared with the second quarter of 2025 unless otherwise noted.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Third Quarter 2025 Income Statement Summary:</w:t>
      </w:r>
    </w:p>
    <w:p>
      <w:pPr>
        <w:spacing w:after="0" w:line="170" w:lineRule="exact"/>
        <w:rPr>
          <w:sz w:val="20"/>
          <w:szCs w:val="20"/>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net revenue increased 23 percent to $15.4 billion.</w:t>
      </w:r>
    </w:p>
    <w:p>
      <w:pPr>
        <w:spacing w:after="0" w:line="167"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non-interest expense increased 18 percent to $8.3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percent increase in marketing.</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 percent increase in operating expenses.</w:t>
      </w:r>
    </w:p>
    <w:p>
      <w:pPr>
        <w:spacing w:after="0" w:line="164"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Pre-provision earnings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increased 29 percent to $7.1 billion.</w:t>
      </w:r>
    </w:p>
    <w:p>
      <w:pPr>
        <w:spacing w:after="0" w:line="1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for credit losses decreased $8.7 billion to $2.7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charge-offs of $3.5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$760 million loan reserve release.</w:t>
      </w:r>
    </w:p>
    <w:p>
      <w:pPr>
        <w:spacing w:after="0" w:line="167"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margin of 8.36 percent, an increase of 74 basis points.</w:t>
      </w:r>
    </w:p>
    <w:p>
      <w:pPr>
        <w:spacing w:after="0" w:line="164"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interest margin</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8.43 percent.</w:t>
      </w:r>
    </w:p>
    <w:p>
      <w:pPr>
        <w:spacing w:after="0" w:line="1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Efficiency ratio of 53.80 percent.</w:t>
      </w:r>
    </w:p>
    <w:p>
      <w:pPr>
        <w:spacing w:after="0" w:line="164"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efficiency ratio</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47.96 percent.</w:t>
      </w:r>
    </w:p>
    <w:p>
      <w:pPr>
        <w:spacing w:after="0" w:line="1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efficiency ratio of 44.66 percent.</w:t>
      </w:r>
    </w:p>
    <w:p>
      <w:pPr>
        <w:spacing w:after="0" w:line="164"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operating efficiency ratio</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38.89 percent.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Third Quarter 2025 Balance Sheet Summary:</w:t>
      </w:r>
    </w:p>
    <w:p>
      <w:pPr>
        <w:spacing w:after="0" w:line="167" w:lineRule="exact"/>
        <w:rPr>
          <w:sz w:val="20"/>
          <w:szCs w:val="20"/>
          <w:color w:val="auto"/>
        </w:rPr>
      </w:pP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equity Tier 1 capital ratio</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under Basel III Standardized Approach of 14.4 percent at September 30, 2025.</w:t>
      </w:r>
    </w:p>
    <w:p>
      <w:pPr>
        <w:spacing w:after="0" w:line="1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Period-end loans held for investment in the quarter increased $3.9 billion, or 1 percent, to $443.2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Card period-end loans increased $1.3 billion, or less than 1 percent, to $271.0 billion.</w:t>
      </w:r>
    </w:p>
    <w:p>
      <w:pPr>
        <w:spacing w:after="0" w:line="167" w:lineRule="exact"/>
        <w:rPr>
          <w:rFonts w:ascii="Times New Roman" w:cs="Times New Roman" w:eastAsia="Times New Roman" w:hAnsi="Times New Roman"/>
          <w:sz w:val="17"/>
          <w:szCs w:val="17"/>
          <w:color w:val="auto"/>
        </w:rPr>
      </w:pPr>
    </w:p>
    <w:p>
      <w:pPr>
        <w:ind w:left="1560" w:hanging="312"/>
        <w:spacing w:after="0"/>
        <w:tabs>
          <w:tab w:leader="none" w:pos="15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Card period-end loans increased $1.5 billion, or 1 percent, to $254.0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Banking period-end loans increased $2.0 billion, or 2 percent, to $83.2 billion.</w:t>
      </w:r>
    </w:p>
    <w:p>
      <w:pPr>
        <w:spacing w:after="0" w:line="167" w:lineRule="exact"/>
        <w:rPr>
          <w:rFonts w:ascii="Times New Roman" w:cs="Times New Roman" w:eastAsia="Times New Roman" w:hAnsi="Times New Roman"/>
          <w:sz w:val="17"/>
          <w:szCs w:val="17"/>
          <w:color w:val="auto"/>
        </w:rPr>
      </w:pPr>
    </w:p>
    <w:p>
      <w:pPr>
        <w:ind w:left="1560" w:hanging="312"/>
        <w:spacing w:after="0"/>
        <w:tabs>
          <w:tab w:leader="none" w:pos="15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 period-end loans increased $2.0 billion, or 3 percent, to $82.0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Banking period-end loans increased $537 million, or 1 percent, to $88.9 billion.</w:t>
      </w:r>
    </w:p>
    <w:p>
      <w:pPr>
        <w:spacing w:after="0" w:line="167"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loans held for investment in the quarter increased $61.7 billion, or 16 percent, to $439.9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Card average loans increased $59.5 billion, or 28 percent, to $269.2 billion.</w:t>
      </w:r>
    </w:p>
    <w:p>
      <w:pPr>
        <w:spacing w:after="0" w:line="167" w:lineRule="exact"/>
        <w:rPr>
          <w:rFonts w:ascii="Times New Roman" w:cs="Times New Roman" w:eastAsia="Times New Roman" w:hAnsi="Times New Roman"/>
          <w:sz w:val="17"/>
          <w:szCs w:val="17"/>
          <w:color w:val="auto"/>
        </w:rPr>
      </w:pPr>
    </w:p>
    <w:p>
      <w:pPr>
        <w:ind w:left="1560" w:hanging="312"/>
        <w:spacing w:after="0"/>
        <w:tabs>
          <w:tab w:leader="none" w:pos="15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Card average loans increased $54.3 billion, or 27 percent, to $252.1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Banking average loans increased $2.2 billion, or 3 percent, to $82.3 billion.</w:t>
      </w:r>
    </w:p>
    <w:p>
      <w:pPr>
        <w:spacing w:after="0" w:line="167" w:lineRule="exact"/>
        <w:rPr>
          <w:rFonts w:ascii="Times New Roman" w:cs="Times New Roman" w:eastAsia="Times New Roman" w:hAnsi="Times New Roman"/>
          <w:sz w:val="17"/>
          <w:szCs w:val="17"/>
          <w:color w:val="auto"/>
        </w:rPr>
      </w:pPr>
    </w:p>
    <w:p>
      <w:pPr>
        <w:ind w:left="1560" w:hanging="312"/>
        <w:spacing w:after="0"/>
        <w:tabs>
          <w:tab w:leader="none" w:pos="15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 average loans increased $2.2 billion, or 3 percent, to $81.1 billion.</w:t>
      </w:r>
    </w:p>
    <w:p>
      <w:pPr>
        <w:spacing w:after="0" w:line="167" w:lineRule="exact"/>
        <w:rPr>
          <w:rFonts w:ascii="Times New Roman" w:cs="Times New Roman" w:eastAsia="Times New Roman" w:hAnsi="Times New Roman"/>
          <w:sz w:val="17"/>
          <w:szCs w:val="17"/>
          <w:color w:val="auto"/>
        </w:rPr>
      </w:pPr>
    </w:p>
    <w:p>
      <w:pPr>
        <w:ind w:left="940" w:hanging="314"/>
        <w:spacing w:after="0"/>
        <w:tabs>
          <w:tab w:leader="none" w:pos="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Banking average loans increased $20 million, or less than 1 percent, to $88.4 billion.</w:t>
      </w:r>
    </w:p>
    <w:p>
      <w:pPr>
        <w:spacing w:after="0" w:line="167" w:lineRule="exact"/>
        <w:rPr>
          <w:rFonts w:ascii="Times New Roman" w:cs="Times New Roman" w:eastAsia="Times New Roman" w:hAnsi="Times New Roman"/>
          <w:sz w:val="17"/>
          <w:szCs w:val="17"/>
          <w:color w:val="auto"/>
        </w:rPr>
      </w:pPr>
    </w:p>
    <w:p>
      <w:pPr>
        <w:ind w:left="320" w:hanging="316"/>
        <w:spacing w:after="0" w:line="292"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Period-end total deposits increased $675 million, or less than 1 percent, to $468.8 billion, while average deposits increased $52.7 billion, or 13 percent, to $467.3 billion.</w:t>
      </w:r>
    </w:p>
    <w:p>
      <w:pPr>
        <w:spacing w:after="0" w:line="94"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Interest-bearing deposits rate paid increased 5 basis points to 3.27 percent.</w:t>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Capital One Third Quarter 2025 Earnings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Conference Call Webcast Information</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will hold an earnings conference call on October 21, 2025 at 5:00 PM Eastern Time. The conference call will be accessible through live webcast. Interested investors and other individuals can access the webcast via the company’s home page (www.capitalone.com). Under “About,” choose “Investors” to access the Investor Center and view and/or download the earnings press release, the financial supplement, including a reconciliation of non-GAAP financial measures, and the earnings release presentation. The replay of the webcast will be archived on the company’s website through November 4, 2025 at 5:00 PM Eastern Time.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Certain statements in this release may constitute forward-looking statements, which involve a number of risks and uncertainties. Forward-looking statements often use words such as “will,” “anticipate,” “target,” “expect,” “think,” “estimate,” “intend,” “plan,” “goal,” “believe,” “forecast,” “outlook” or other words of similar meaning. Any forward-looking statements made by Capital One or on its behalf speak only as of the date they are made or as of the date indicated, and Capital One does not undertake any obligation to update forward-looking statements as a result of new information, future events or otherwise. Capital One cautions readers that any forward-looking information is not a guarantee of future performance and that actual results could differ materially from those contained in the forward-looking information due to a number of factors. For additional information on factors that could materially influence forward-looking statements included in this earnings press release, see the risk factors set forth under “Part I—Item 1A. Risk Factors” in the Annual Report on Form 10-K for the year ended December 31, 2024 filed with the Securities and Exchange Commission (the “SEC”) and Quarterly Reports on Form 10-Q and Current Reports on Form 8-K filed with the SEC.</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Capital One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Capital One Financial Corporation (www.capitalone.com) is a financial holding company which, along with its subsidiaries, had $468.8 billion in deposits and $661.9 billion in total assets as of September 30, 2025. Headquartered in McLean, Virginia, Capital One offers a broad spectrum of financial products and services to consumers, small businesses and commercial clients through a variety of channels. Capital One, N.A. has branches and Cafés located primarily in New York, Louisiana, Texas, Maryland, Virginia and the District of Columbia. A Fortune 500 company, Capital One trades on the New York Stock Exchange under the symbol “COF” and is included in the S&amp;P 100 index.</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62" w:lineRule="exact"/>
        <w:rPr>
          <w:sz w:val="20"/>
          <w:szCs w:val="20"/>
          <w:color w:val="auto"/>
        </w:rPr>
      </w:pPr>
    </w:p>
    <w:p>
      <w:pPr>
        <w:ind w:left="320" w:hanging="316"/>
        <w:spacing w:after="0" w:line="261" w:lineRule="auto"/>
        <w:tabs>
          <w:tab w:leader="none" w:pos="242"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is a non-GAAP measure. We believe non-GAAP measures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October 21, 2025 with the SEC, “Table 15: Calculation of Regulatory Capital Measures and Reconciliation of Non-GAAP Measures” for a reconciliation and additional information on non-GAAP measures.</w:t>
      </w:r>
    </w:p>
    <w:p>
      <w:pPr>
        <w:spacing w:after="0" w:line="25" w:lineRule="exact"/>
        <w:rPr>
          <w:rFonts w:ascii="Times New Roman" w:cs="Times New Roman" w:eastAsia="Times New Roman" w:hAnsi="Times New Roman"/>
          <w:sz w:val="9"/>
          <w:szCs w:val="9"/>
          <w:color w:val="auto"/>
        </w:rPr>
      </w:pPr>
    </w:p>
    <w:p>
      <w:pPr>
        <w:ind w:left="320" w:hanging="316"/>
        <w:spacing w:after="0" w:line="247" w:lineRule="auto"/>
        <w:tabs>
          <w:tab w:leader="none" w:pos="269"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Pre-provision earnings is a non-GAAP metric calculated based on total net revenue less non-interest expense for the period. Management believes that this financial metric is useful in assessing the ability of a lending institution to generate income in excess of its provision for credit losses. See our Financial Supplement, filed as Exhibit 99.2 to our Current Report on Form 8-K on October 21, 2025 with the SEC, “Table 15: Calculation of Regulatory Capital Measures and Reconciliation of Non-GAAP Measures” for a reconciliation and additional information on non-GAAP measures.</w:t>
      </w:r>
    </w:p>
    <w:p>
      <w:pPr>
        <w:spacing w:after="0" w:line="9" w:lineRule="exact"/>
        <w:rPr>
          <w:rFonts w:ascii="Times New Roman" w:cs="Times New Roman" w:eastAsia="Times New Roman" w:hAnsi="Times New Roman"/>
          <w:sz w:val="17"/>
          <w:szCs w:val="17"/>
          <w:color w:val="auto"/>
          <w:vertAlign w:val="superscript"/>
        </w:rPr>
      </w:pPr>
    </w:p>
    <w:p>
      <w:pPr>
        <w:ind w:left="200" w:hanging="196"/>
        <w:spacing w:after="0"/>
        <w:tabs>
          <w:tab w:leader="none" w:pos="20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Regulatory capital metrics as of September 30, 2025 are preliminary and therefore subject to change.</w:t>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340" w:type="dxa"/>
            <w:vAlign w:val="bottom"/>
          </w:tcPr>
          <w:p>
            <w:pPr>
              <w:ind w:left="1460"/>
              <w:spacing w:after="0"/>
              <w:rPr>
                <w:sz w:val="20"/>
                <w:szCs w:val="20"/>
                <w:color w:val="auto"/>
              </w:rPr>
            </w:pPr>
            <w:r>
              <w:rPr>
                <w:rFonts w:ascii="Times New Roman" w:cs="Times New Roman" w:eastAsia="Times New Roman" w:hAnsi="Times New Roman"/>
                <w:sz w:val="17"/>
                <w:szCs w:val="17"/>
                <w:b w:val="1"/>
                <w:bCs w:val="1"/>
                <w:color w:val="auto"/>
                <w:w w:val="97"/>
              </w:rPr>
              <w:t>Exhibit 99.2</w:t>
            </w:r>
          </w:p>
        </w:tc>
      </w:tr>
      <w:tr>
        <w:trPr>
          <w:trHeight w:val="417"/>
        </w:trPr>
        <w:tc>
          <w:tcPr>
            <w:tcW w:w="740" w:type="dxa"/>
            <w:vAlign w:val="bottom"/>
          </w:tcPr>
          <w:p>
            <w:pPr>
              <w:spacing w:after="0"/>
              <w:rPr>
                <w:sz w:val="24"/>
                <w:szCs w:val="24"/>
                <w:color w:val="auto"/>
              </w:rPr>
            </w:pPr>
          </w:p>
        </w:tc>
        <w:tc>
          <w:tcPr>
            <w:tcW w:w="8140" w:type="dxa"/>
            <w:vAlign w:val="bottom"/>
          </w:tcPr>
          <w:p>
            <w:pPr>
              <w:jc w:val="center"/>
              <w:ind w:left="1500"/>
              <w:spacing w:after="0"/>
              <w:rPr>
                <w:sz w:val="20"/>
                <w:szCs w:val="20"/>
                <w:color w:val="auto"/>
              </w:rPr>
            </w:pPr>
            <w:r>
              <w:rPr>
                <w:rFonts w:ascii="Times New Roman" w:cs="Times New Roman" w:eastAsia="Times New Roman" w:hAnsi="Times New Roman"/>
                <w:sz w:val="17"/>
                <w:szCs w:val="17"/>
                <w:b w:val="1"/>
                <w:bCs w:val="1"/>
                <w:color w:val="auto"/>
              </w:rPr>
              <w:t>Capital One Financial Corporation</w:t>
            </w:r>
          </w:p>
        </w:tc>
        <w:tc>
          <w:tcPr>
            <w:tcW w:w="2340" w:type="dxa"/>
            <w:vAlign w:val="bottom"/>
          </w:tcPr>
          <w:p>
            <w:pPr>
              <w:spacing w:after="0"/>
              <w:rPr>
                <w:sz w:val="24"/>
                <w:szCs w:val="24"/>
                <w:color w:val="auto"/>
              </w:rPr>
            </w:pPr>
          </w:p>
        </w:tc>
      </w:tr>
      <w:tr>
        <w:trPr>
          <w:trHeight w:val="210"/>
        </w:trPr>
        <w:tc>
          <w:tcPr>
            <w:tcW w:w="740" w:type="dxa"/>
            <w:vAlign w:val="bottom"/>
          </w:tcPr>
          <w:p>
            <w:pPr>
              <w:spacing w:after="0"/>
              <w:rPr>
                <w:sz w:val="18"/>
                <w:szCs w:val="18"/>
                <w:color w:val="auto"/>
              </w:rPr>
            </w:pPr>
          </w:p>
        </w:tc>
        <w:tc>
          <w:tcPr>
            <w:tcW w:w="8140" w:type="dxa"/>
            <w:vAlign w:val="bottom"/>
          </w:tcPr>
          <w:p>
            <w:pPr>
              <w:jc w:val="center"/>
              <w:ind w:left="1500"/>
              <w:spacing w:after="0" w:line="210" w:lineRule="exact"/>
              <w:rPr>
                <w:sz w:val="20"/>
                <w:szCs w:val="20"/>
                <w:color w:val="auto"/>
              </w:rPr>
            </w:pPr>
            <w:r>
              <w:rPr>
                <w:rFonts w:ascii="Times New Roman" w:cs="Times New Roman" w:eastAsia="Times New Roman" w:hAnsi="Times New Roman"/>
                <w:sz w:val="17"/>
                <w:szCs w:val="17"/>
                <w:b w:val="1"/>
                <w:bCs w:val="1"/>
                <w:color w:val="auto"/>
                <w:w w:val="94"/>
              </w:rPr>
              <w:t>Financial Supplement</w:t>
            </w:r>
            <w:r>
              <w:rPr>
                <w:rFonts w:ascii="Times New Roman" w:cs="Times New Roman" w:eastAsia="Times New Roman" w:hAnsi="Times New Roman"/>
                <w:sz w:val="22"/>
                <w:szCs w:val="22"/>
                <w:b w:val="1"/>
                <w:bCs w:val="1"/>
                <w:color w:val="auto"/>
                <w:w w:val="94"/>
                <w:vertAlign w:val="superscript"/>
              </w:rPr>
              <w:t>(1)(2)(3)</w:t>
            </w:r>
          </w:p>
        </w:tc>
        <w:tc>
          <w:tcPr>
            <w:tcW w:w="2340" w:type="dxa"/>
            <w:vAlign w:val="bottom"/>
          </w:tcPr>
          <w:p>
            <w:pPr>
              <w:spacing w:after="0"/>
              <w:rPr>
                <w:sz w:val="18"/>
                <w:szCs w:val="18"/>
                <w:color w:val="auto"/>
              </w:rPr>
            </w:pPr>
          </w:p>
        </w:tc>
      </w:tr>
      <w:tr>
        <w:trPr>
          <w:trHeight w:val="207"/>
        </w:trPr>
        <w:tc>
          <w:tcPr>
            <w:tcW w:w="740" w:type="dxa"/>
            <w:vAlign w:val="bottom"/>
          </w:tcPr>
          <w:p>
            <w:pPr>
              <w:spacing w:after="0"/>
              <w:rPr>
                <w:sz w:val="18"/>
                <w:szCs w:val="18"/>
                <w:color w:val="auto"/>
              </w:rPr>
            </w:pPr>
          </w:p>
        </w:tc>
        <w:tc>
          <w:tcPr>
            <w:tcW w:w="8140" w:type="dxa"/>
            <w:vAlign w:val="bottom"/>
          </w:tcPr>
          <w:p>
            <w:pPr>
              <w:jc w:val="center"/>
              <w:ind w:left="1520"/>
              <w:spacing w:after="0"/>
              <w:rPr>
                <w:sz w:val="20"/>
                <w:szCs w:val="20"/>
                <w:color w:val="auto"/>
              </w:rPr>
            </w:pPr>
            <w:r>
              <w:rPr>
                <w:rFonts w:ascii="Times New Roman" w:cs="Times New Roman" w:eastAsia="Times New Roman" w:hAnsi="Times New Roman"/>
                <w:sz w:val="17"/>
                <w:szCs w:val="17"/>
                <w:b w:val="1"/>
                <w:bCs w:val="1"/>
                <w:color w:val="auto"/>
              </w:rPr>
              <w:t>Third Quarter 2025</w:t>
            </w:r>
          </w:p>
        </w:tc>
        <w:tc>
          <w:tcPr>
            <w:tcW w:w="2340" w:type="dxa"/>
            <w:vAlign w:val="bottom"/>
          </w:tcPr>
          <w:p>
            <w:pPr>
              <w:spacing w:after="0"/>
              <w:rPr>
                <w:sz w:val="18"/>
                <w:szCs w:val="18"/>
                <w:color w:val="auto"/>
              </w:rPr>
            </w:pPr>
          </w:p>
        </w:tc>
      </w:tr>
      <w:tr>
        <w:trPr>
          <w:trHeight w:val="228"/>
        </w:trPr>
        <w:tc>
          <w:tcPr>
            <w:tcW w:w="740" w:type="dxa"/>
            <w:vAlign w:val="bottom"/>
          </w:tcPr>
          <w:p>
            <w:pPr>
              <w:spacing w:after="0"/>
              <w:rPr>
                <w:sz w:val="19"/>
                <w:szCs w:val="19"/>
                <w:color w:val="auto"/>
              </w:rPr>
            </w:pPr>
          </w:p>
        </w:tc>
        <w:tc>
          <w:tcPr>
            <w:tcW w:w="8140" w:type="dxa"/>
            <w:vAlign w:val="bottom"/>
          </w:tcPr>
          <w:p>
            <w:pPr>
              <w:jc w:val="center"/>
              <w:ind w:left="15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340" w:type="dxa"/>
            <w:vAlign w:val="bottom"/>
          </w:tcPr>
          <w:p>
            <w:pPr>
              <w:spacing w:after="0"/>
              <w:rPr>
                <w:sz w:val="19"/>
                <w:szCs w:val="19"/>
                <w:color w:val="auto"/>
              </w:rPr>
            </w:pPr>
          </w:p>
        </w:tc>
      </w:tr>
      <w:tr>
        <w:trPr>
          <w:trHeight w:val="227"/>
        </w:trPr>
        <w:tc>
          <w:tcPr>
            <w:tcW w:w="8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 One Financial Corporation Consolidated Results</w:t>
            </w:r>
          </w:p>
        </w:tc>
        <w:tc>
          <w:tcPr>
            <w:tcW w:w="2340" w:type="dxa"/>
            <w:vAlign w:val="bottom"/>
          </w:tcPr>
          <w:p>
            <w:pPr>
              <w:ind w:left="19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1:</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Financial Summary—Consolidated</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74"/>
              </w:rPr>
              <w:t>1</w:t>
            </w: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2:</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Selected Metrics—Consolidated</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74"/>
              </w:rPr>
              <w:t>3</w:t>
            </w: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3:</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74"/>
              </w:rPr>
              <w:t>4</w:t>
            </w: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4:</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74"/>
              </w:rPr>
              <w:t>6</w:t>
            </w: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5:</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Notes to Financial Summary, Selected Metrics and Consolidated Financial Statements (Tables 1—4)</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74"/>
              </w:rPr>
              <w:t>8</w:t>
            </w: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6:</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Average Balances, Net Interest Income and Net Interest Margin</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74"/>
              </w:rPr>
              <w:t>9</w:t>
            </w: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7:</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Loan Information and Performance Statistics</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10</w:t>
            </w: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8:</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Allowance for Credit Losses and Reserve for Unfunded Lending Commitments Activity</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13</w:t>
            </w:r>
          </w:p>
        </w:tc>
      </w:tr>
      <w:tr>
        <w:trPr>
          <w:trHeight w:val="207"/>
        </w:trPr>
        <w:tc>
          <w:tcPr>
            <w:tcW w:w="8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Business Segment Results</w:t>
            </w:r>
          </w:p>
        </w:tc>
        <w:tc>
          <w:tcPr>
            <w:tcW w:w="2340" w:type="dxa"/>
            <w:vAlign w:val="bottom"/>
          </w:tcPr>
          <w:p>
            <w:pPr>
              <w:spacing w:after="0"/>
              <w:rPr>
                <w:sz w:val="18"/>
                <w:szCs w:val="18"/>
                <w:color w:val="auto"/>
              </w:rPr>
            </w:pPr>
          </w:p>
        </w:tc>
      </w:tr>
      <w:tr>
        <w:trPr>
          <w:trHeight w:val="207"/>
        </w:trPr>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Table 9:</w:t>
            </w:r>
          </w:p>
        </w:tc>
        <w:tc>
          <w:tcPr>
            <w:tcW w:w="81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Financial Summary—Business Segment Results</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14</w:t>
            </w:r>
          </w:p>
        </w:tc>
      </w:tr>
      <w:tr>
        <w:trPr>
          <w:trHeight w:val="207"/>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Table 10: Financial &amp; Statistical Summary—Credit Card Business</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15</w:t>
            </w:r>
          </w:p>
        </w:tc>
      </w:tr>
      <w:tr>
        <w:trPr>
          <w:trHeight w:val="207"/>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Table 11: Financial &amp; Statistical Summary—Consumer Banking Business</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17</w:t>
            </w:r>
          </w:p>
        </w:tc>
      </w:tr>
      <w:tr>
        <w:trPr>
          <w:trHeight w:val="207"/>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Table 12: Financial &amp; Statistical Summary—Commercial Banking Business</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18</w:t>
            </w:r>
          </w:p>
        </w:tc>
      </w:tr>
      <w:tr>
        <w:trPr>
          <w:trHeight w:val="207"/>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Table 13: Financial &amp; Statistical Summary—Other and Total</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19</w:t>
            </w:r>
          </w:p>
        </w:tc>
      </w:t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1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7"/>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Table 14: Notes to Net Interest Margin, Loan, Allowance and Business Segment Disclosures (Tables 6—13)</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20</w:t>
            </w:r>
          </w:p>
        </w:tc>
      </w:tr>
      <w:tr>
        <w:trPr>
          <w:trHeight w:val="207"/>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Table 15: Calculation of Regulatory Capital Measures and Reconciliation of Non-GAAP Measures</w:t>
            </w:r>
          </w:p>
        </w:tc>
        <w:tc>
          <w:tcPr>
            <w:tcW w:w="2340" w:type="dxa"/>
            <w:vAlign w:val="bottom"/>
          </w:tcPr>
          <w:p>
            <w:pPr>
              <w:jc w:val="center"/>
              <w:ind w:left="1802"/>
              <w:spacing w:after="0"/>
              <w:rPr>
                <w:sz w:val="20"/>
                <w:szCs w:val="20"/>
                <w:color w:val="auto"/>
              </w:rPr>
            </w:pPr>
            <w:r>
              <w:rPr>
                <w:rFonts w:ascii="Times New Roman" w:cs="Times New Roman" w:eastAsia="Times New Roman" w:hAnsi="Times New Roman"/>
                <w:sz w:val="16"/>
                <w:szCs w:val="16"/>
                <w:b w:val="1"/>
                <w:bCs w:val="1"/>
                <w:color w:val="auto"/>
                <w:w w:val="87"/>
              </w:rPr>
              <w:t>21</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41" w:lineRule="exact"/>
        <w:rPr>
          <w:sz w:val="20"/>
          <w:szCs w:val="20"/>
          <w:color w:val="auto"/>
        </w:rPr>
      </w:pPr>
    </w:p>
    <w:p>
      <w:pPr>
        <w:ind w:left="320" w:hanging="316"/>
        <w:spacing w:after="0" w:line="228" w:lineRule="auto"/>
        <w:tabs>
          <w:tab w:leader="none" w:pos="308"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information contained in this Financial Supplement is preliminary and based on data available at the time of the earnings presentation. Investors should refer to our Quarterly Report on Form 10-Q for the period ended September 30, 2025 once it is filed with the Securities and Exchange Commission.</w:t>
      </w:r>
    </w:p>
    <w:p>
      <w:pPr>
        <w:spacing w:after="0" w:line="39" w:lineRule="exact"/>
        <w:rPr>
          <w:rFonts w:ascii="Times New Roman" w:cs="Times New Roman" w:eastAsia="Times New Roman" w:hAnsi="Times New Roman"/>
          <w:sz w:val="18"/>
          <w:szCs w:val="18"/>
          <w:color w:val="auto"/>
          <w:vertAlign w:val="superscript"/>
        </w:rPr>
      </w:pPr>
    </w:p>
    <w:p>
      <w:pPr>
        <w:jc w:val="both"/>
        <w:ind w:left="320" w:hanging="316"/>
        <w:spacing w:after="0" w:line="234" w:lineRule="auto"/>
        <w:tabs>
          <w:tab w:leader="none" w:pos="308"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Financial Supplement includes non-GAAP measures. We believe these non-GAAP measures are useful to investors and users of our financial information as they provide an alternate measurement of our performance and assist in assessing our capital adequacy and the level of return generated. These non-GAAP measures should not be viewed as a substitute for reported results determined in accordance with generally accepted accounting principles in the U.S. (“GAAP”), nor are they necessarily comparable to non-GAAP measures that may be presented by other companies. See “Table 15: Calculation of Regulatory Capital Measures and Reconciliation of Non-GAAP Measures” for a reconciliation of any non-GAAP financial measures.</w:t>
      </w:r>
    </w:p>
    <w:p>
      <w:pPr>
        <w:spacing w:after="0" w:line="40" w:lineRule="exact"/>
        <w:rPr>
          <w:rFonts w:ascii="Times New Roman" w:cs="Times New Roman" w:eastAsia="Times New Roman" w:hAnsi="Times New Roman"/>
          <w:sz w:val="18"/>
          <w:szCs w:val="18"/>
          <w:color w:val="auto"/>
          <w:vertAlign w:val="superscript"/>
        </w:rPr>
      </w:pPr>
    </w:p>
    <w:p>
      <w:pPr>
        <w:ind w:left="320" w:hanging="316"/>
        <w:spacing w:after="0" w:line="228" w:lineRule="auto"/>
        <w:tabs>
          <w:tab w:leader="none" w:pos="308"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May 18, 2025, we completed the Discover acquisition in an all-stock transaction as outlined in the merger agreement dated February 19, 2024. Discover results and statistics reported herein are from May 18, 2025 to September 30, 2025.</w:t>
      </w:r>
    </w:p>
    <w:p>
      <w:pPr>
        <w:sectPr>
          <w:pgSz w:w="11900" w:h="16838" w:orient="portrait"/>
          <w:cols w:equalWidth="0" w:num="1">
            <w:col w:w="11240"/>
          </w:cols>
          <w:pgMar w:left="320" w:top="8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1: Financial Summary—Consolidated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2025 Q3</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3"/>
        </w:trPr>
        <w:tc>
          <w:tcPr>
            <w:tcW w:w="3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0" w:type="dxa"/>
            <w:vAlign w:val="bottom"/>
          </w:tcPr>
          <w:p>
            <w:pPr>
              <w:spacing w:after="0"/>
              <w:rPr>
                <w:sz w:val="1"/>
                <w:szCs w:val="1"/>
                <w:color w:val="auto"/>
              </w:rPr>
            </w:pPr>
          </w:p>
        </w:tc>
      </w:tr>
      <w:tr>
        <w:trPr>
          <w:trHeight w:val="19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data and as noted)</w:t>
            </w:r>
          </w:p>
        </w:tc>
        <w:tc>
          <w:tcPr>
            <w:tcW w:w="140" w:type="dxa"/>
            <w:vAlign w:val="bottom"/>
          </w:tcPr>
          <w:p>
            <w:pPr>
              <w:spacing w:after="0"/>
              <w:rPr>
                <w:sz w:val="17"/>
                <w:szCs w:val="17"/>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89"/>
              </w:rPr>
              <w:t>Q3</w:t>
            </w:r>
          </w:p>
        </w:tc>
        <w:tc>
          <w:tcPr>
            <w:tcW w:w="14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Q4</w:t>
            </w:r>
          </w:p>
        </w:tc>
        <w:tc>
          <w:tcPr>
            <w:tcW w:w="140" w:type="dxa"/>
            <w:vAlign w:val="bottom"/>
          </w:tcPr>
          <w:p>
            <w:pPr>
              <w:spacing w:after="0"/>
              <w:rPr>
                <w:sz w:val="17"/>
                <w:szCs w:val="17"/>
                <w:color w:val="auto"/>
              </w:rPr>
            </w:pPr>
          </w:p>
        </w:tc>
        <w:tc>
          <w:tcPr>
            <w:tcW w:w="5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7"/>
                <w:szCs w:val="17"/>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12,404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30,412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201"/>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8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7,439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7"/>
        </w:trPr>
        <w:tc>
          <w:tcPr>
            <w:tcW w:w="36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4"/>
                <w:szCs w:val="14"/>
                <w:color w:val="auto"/>
              </w:rPr>
              <w:t>Total net revenue</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8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37,851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28,922</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8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Marketing</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8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Operating expense</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6,860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840" w:type="dxa"/>
            <w:vAlign w:val="bottom"/>
            <w:tcBorders>
              <w:bottom w:val="single" w:sz="8" w:color="CCEEFF"/>
            </w:tcBorders>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17,206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12,210</w:t>
            </w:r>
          </w:p>
        </w:tc>
        <w:tc>
          <w:tcPr>
            <w:tcW w:w="86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8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55</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21,156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2"/>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60" w:type="dxa"/>
            <w:vAlign w:val="bottom"/>
            <w:gridSpan w:val="2"/>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2"/>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net of tax</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2"/>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80</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36"/>
        </w:trPr>
        <w:tc>
          <w:tcPr>
            <w:tcW w:w="360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Dividends and undistributed earnings allocated to participating</w:t>
            </w: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40" w:type="dxa"/>
            <w:vAlign w:val="bottom"/>
            <w:gridSpan w:val="2"/>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60" w:type="dxa"/>
            <w:vAlign w:val="bottom"/>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securities</w:t>
            </w:r>
            <w:r>
              <w:rPr>
                <w:rFonts w:ascii="Times New Roman" w:cs="Times New Roman" w:eastAsia="Times New Roman" w:hAnsi="Times New Roman"/>
                <w:sz w:val="17"/>
                <w:szCs w:val="17"/>
                <w:color w:val="auto"/>
                <w:vertAlign w:val="superscript"/>
              </w:rPr>
              <w:t>(2)</w:t>
            </w: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on redeemed preferred stock</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45"/>
        </w:trPr>
        <w:tc>
          <w:tcPr>
            <w:tcW w:w="3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540" w:type="dxa"/>
            <w:vAlign w:val="bottom"/>
            <w:tcBorders>
              <w:top w:val="single" w:sz="8" w:color="CCEEFF"/>
              <w:bottom w:val="single" w:sz="8" w:color="auto"/>
            </w:tcBorders>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Common Share Statistics</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40" w:type="dxa"/>
            <w:vAlign w:val="bottom"/>
          </w:tcPr>
          <w:p>
            <w:pPr>
              <w:ind w:left="20"/>
              <w:spacing w:after="0" w:line="188" w:lineRule="exact"/>
              <w:rPr>
                <w:sz w:val="20"/>
                <w:szCs w:val="20"/>
                <w:color w:val="auto"/>
              </w:rPr>
            </w:pPr>
            <w:r>
              <w:rPr>
                <w:rFonts w:ascii="Times New Roman" w:cs="Times New Roman" w:eastAsia="Times New Roman" w:hAnsi="Times New Roman"/>
                <w:sz w:val="14"/>
                <w:szCs w:val="14"/>
                <w:b w:val="1"/>
                <w:bCs w:val="1"/>
                <w:color w:val="auto"/>
              </w:rPr>
              <w:t>Basic earnings per common share:</w:t>
            </w:r>
            <w:r>
              <w:rPr>
                <w:rFonts w:ascii="Times New Roman" w:cs="Times New Roman" w:eastAsia="Times New Roman" w:hAnsi="Times New Roman"/>
                <w:sz w:val="17"/>
                <w:szCs w:val="17"/>
                <w:b w:val="1"/>
                <w:bCs w:val="1"/>
                <w:color w:val="auto"/>
                <w:vertAlign w:val="superscript"/>
              </w:rPr>
              <w:t>(2)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860" w:type="dxa"/>
            <w:vAlign w:val="bottom"/>
            <w:gridSpan w:val="2"/>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7"/>
              </w:rPr>
              <w:t>(97)%</w:t>
            </w:r>
          </w:p>
        </w:tc>
        <w:tc>
          <w:tcPr>
            <w:tcW w:w="0" w:type="dxa"/>
            <w:vAlign w:val="bottom"/>
          </w:tcPr>
          <w:p>
            <w:pPr>
              <w:spacing w:after="0"/>
              <w:rPr>
                <w:sz w:val="1"/>
                <w:szCs w:val="1"/>
                <w:color w:val="auto"/>
              </w:rPr>
            </w:pPr>
          </w:p>
        </w:tc>
      </w:tr>
      <w:tr>
        <w:trPr>
          <w:trHeight w:val="189"/>
        </w:trPr>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left="21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8"/>
        </w:trPr>
        <w:tc>
          <w:tcPr>
            <w:tcW w:w="36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 per basic common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40" w:type="dxa"/>
            <w:vAlign w:val="bottom"/>
            <w:tcBorders>
              <w:top w:val="single" w:sz="8" w:color="CCEEFF"/>
              <w:bottom w:val="single" w:sz="8" w:color="CCEEFF"/>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860" w:type="dxa"/>
            <w:vAlign w:val="bottom"/>
            <w:tcBorders>
              <w:top w:val="single" w:sz="8" w:color="CCEEFF"/>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gridSpan w:val="2"/>
            <w:vMerge w:val="restart"/>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Diluted earnings per common share:</w:t>
            </w:r>
            <w:r>
              <w:rPr>
                <w:rFonts w:ascii="Times New Roman" w:cs="Times New Roman" w:eastAsia="Times New Roman" w:hAnsi="Times New Roman"/>
                <w:sz w:val="17"/>
                <w:szCs w:val="17"/>
                <w:b w:val="1"/>
                <w:bCs w:val="1"/>
                <w:color w:val="auto"/>
                <w:vertAlign w:val="superscript"/>
              </w:rPr>
              <w:t>(2)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860" w:type="dxa"/>
            <w:vAlign w:val="bottom"/>
            <w:gridSpan w:val="2"/>
            <w:shd w:val="clear" w:color="auto" w:fill="CCEEFF"/>
          </w:tcPr>
          <w:p>
            <w:pPr>
              <w:jc w:val="center"/>
              <w:ind w:left="211"/>
              <w:spacing w:after="0"/>
              <w:rPr>
                <w:sz w:val="20"/>
                <w:szCs w:val="20"/>
                <w:color w:val="auto"/>
              </w:rPr>
            </w:pPr>
            <w:r>
              <w:rPr>
                <w:rFonts w:ascii="Times New Roman" w:cs="Times New Roman" w:eastAsia="Times New Roman" w:hAnsi="Times New Roman"/>
                <w:sz w:val="14"/>
                <w:szCs w:val="14"/>
                <w:color w:val="auto"/>
                <w:w w:val="97"/>
              </w:rPr>
              <w:t>(97)%</w:t>
            </w:r>
          </w:p>
        </w:tc>
        <w:tc>
          <w:tcPr>
            <w:tcW w:w="0" w:type="dxa"/>
            <w:vAlign w:val="bottom"/>
          </w:tcPr>
          <w:p>
            <w:pPr>
              <w:spacing w:after="0"/>
              <w:rPr>
                <w:sz w:val="1"/>
                <w:szCs w:val="1"/>
                <w:color w:val="auto"/>
              </w:rPr>
            </w:pPr>
          </w:p>
        </w:tc>
      </w:tr>
      <w:tr>
        <w:trPr>
          <w:trHeight w:val="189"/>
        </w:trPr>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left="211"/>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8"/>
        </w:trPr>
        <w:tc>
          <w:tcPr>
            <w:tcW w:w="36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 per diluted common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40" w:type="dxa"/>
            <w:vAlign w:val="bottom"/>
            <w:tcBorders>
              <w:top w:val="single" w:sz="8" w:color="CCEEFF"/>
              <w:bottom w:val="single" w:sz="8" w:color="CCEEFF"/>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860" w:type="dxa"/>
            <w:vAlign w:val="bottom"/>
            <w:tcBorders>
              <w:top w:val="single" w:sz="8" w:color="CCEEFF"/>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gridSpan w:val="2"/>
            <w:vMerge w:val="restart"/>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Weighted-average common shares outstanding (in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36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89"/>
        </w:trPr>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8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outstanding (period-end, in millions)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8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and paid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0.60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80" w:type="dxa"/>
            <w:vAlign w:val="bottom"/>
          </w:tcPr>
          <w:p>
            <w:pPr>
              <w:spacing w:after="0"/>
              <w:rPr>
                <w:sz w:val="16"/>
                <w:szCs w:val="16"/>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book value per common share (period-end)</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112.36</w:t>
            </w:r>
          </w:p>
        </w:tc>
        <w:tc>
          <w:tcPr>
            <w:tcW w:w="8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112.36</w:t>
            </w:r>
          </w:p>
        </w:tc>
        <w:tc>
          <w:tcPr>
            <w:tcW w:w="8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89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3"/>
        </w:trPr>
        <w:tc>
          <w:tcPr>
            <w:tcW w:w="3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w w:val="97"/>
              </w:rPr>
              <w:t>2025 Q3</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3"/>
        </w:trPr>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Q3</w:t>
            </w:r>
          </w:p>
        </w:tc>
        <w:tc>
          <w:tcPr>
            <w:tcW w:w="12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Q2</w:t>
            </w:r>
          </w:p>
        </w:tc>
        <w:tc>
          <w:tcPr>
            <w:tcW w:w="12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Q4</w:t>
            </w:r>
          </w:p>
        </w:tc>
        <w:tc>
          <w:tcPr>
            <w:tcW w:w="120" w:type="dxa"/>
            <w:vAlign w:val="bottom"/>
          </w:tcPr>
          <w:p>
            <w:pPr>
              <w:spacing w:after="0"/>
              <w:rPr>
                <w:sz w:val="17"/>
                <w:szCs w:val="17"/>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Q3</w:t>
            </w: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Q2</w:t>
            </w: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7"/>
                <w:szCs w:val="17"/>
                <w:color w:val="auto"/>
              </w:rPr>
            </w:pPr>
          </w:p>
        </w:tc>
        <w:tc>
          <w:tcPr>
            <w:tcW w:w="5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(Period-End)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443,159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439,297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323,598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327,775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320,243</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443,159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320,243</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605,235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458,189</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605,235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458,189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661,877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486,433</w:t>
            </w:r>
          </w:p>
        </w:tc>
        <w:tc>
          <w:tcPr>
            <w:tcW w:w="60" w:type="dxa"/>
            <w:vAlign w:val="bottom"/>
          </w:tcPr>
          <w:p>
            <w:pPr>
              <w:spacing w:after="0"/>
              <w:rPr>
                <w:sz w:val="16"/>
                <w:szCs w:val="16"/>
                <w:color w:val="auto"/>
              </w:rPr>
            </w:pPr>
          </w:p>
        </w:tc>
        <w:tc>
          <w:tcPr>
            <w:tcW w:w="10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661,877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486,433</w:t>
            </w:r>
          </w:p>
        </w:tc>
        <w:tc>
          <w:tcPr>
            <w:tcW w:w="8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441,136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327,253</w:t>
            </w:r>
          </w:p>
        </w:tc>
        <w:tc>
          <w:tcPr>
            <w:tcW w:w="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441,136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327,253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468,785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353,631</w:t>
            </w:r>
          </w:p>
        </w:tc>
        <w:tc>
          <w:tcPr>
            <w:tcW w:w="60" w:type="dxa"/>
            <w:vAlign w:val="bottom"/>
          </w:tcPr>
          <w:p>
            <w:pPr>
              <w:spacing w:after="0"/>
              <w:rPr>
                <w:sz w:val="16"/>
                <w:szCs w:val="16"/>
                <w:color w:val="auto"/>
              </w:rPr>
            </w:pPr>
          </w:p>
        </w:tc>
        <w:tc>
          <w:tcPr>
            <w:tcW w:w="10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468,785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353,631</w:t>
            </w:r>
          </w:p>
        </w:tc>
        <w:tc>
          <w:tcPr>
            <w:tcW w:w="8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49,336</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108,406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58,080</w:t>
            </w:r>
          </w:p>
        </w:tc>
        <w:tc>
          <w:tcPr>
            <w:tcW w:w="60" w:type="dxa"/>
            <w:vAlign w:val="bottom"/>
          </w:tcPr>
          <w:p>
            <w:pPr>
              <w:spacing w:after="0"/>
              <w:rPr>
                <w:sz w:val="16"/>
                <w:szCs w:val="16"/>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108,406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58,080</w:t>
            </w:r>
          </w:p>
        </w:tc>
        <w:tc>
          <w:tcPr>
            <w:tcW w:w="8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4"/>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113,813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62,925</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113,813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7"/>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(Average Balances)</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439,859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321,871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318,255</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380,564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315,927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593,247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454,484</w:t>
            </w:r>
          </w:p>
        </w:tc>
        <w:tc>
          <w:tcPr>
            <w:tcW w:w="60" w:type="dxa"/>
            <w:vAlign w:val="bottom"/>
          </w:tcPr>
          <w:p>
            <w:pPr>
              <w:spacing w:after="0"/>
              <w:rPr>
                <w:sz w:val="16"/>
                <w:szCs w:val="16"/>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527,461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451,078</w:t>
            </w:r>
          </w:p>
        </w:tc>
        <w:tc>
          <w:tcPr>
            <w:tcW w:w="8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657,858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481,219</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574,602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477,816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439,527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324,509</w:t>
            </w:r>
          </w:p>
        </w:tc>
        <w:tc>
          <w:tcPr>
            <w:tcW w:w="60" w:type="dxa"/>
            <w:vAlign w:val="bottom"/>
          </w:tcPr>
          <w:p>
            <w:pPr>
              <w:spacing w:after="0"/>
              <w:rPr>
                <w:sz w:val="16"/>
                <w:szCs w:val="16"/>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388,541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321,856</w:t>
            </w:r>
          </w:p>
        </w:tc>
        <w:tc>
          <w:tcPr>
            <w:tcW w:w="8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467,280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351,125</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415,686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348,765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50,180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48,274</w:t>
            </w:r>
          </w:p>
        </w:tc>
        <w:tc>
          <w:tcPr>
            <w:tcW w:w="60" w:type="dxa"/>
            <w:vAlign w:val="bottom"/>
          </w:tcPr>
          <w:p>
            <w:pPr>
              <w:spacing w:after="0"/>
              <w:rPr>
                <w:sz w:val="16"/>
                <w:szCs w:val="16"/>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47,097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49,194</w:t>
            </w:r>
          </w:p>
        </w:tc>
        <w:tc>
          <w:tcPr>
            <w:tcW w:w="80" w:type="dxa"/>
            <w:vAlign w:val="bottom"/>
          </w:tcPr>
          <w:p>
            <w:pPr>
              <w:spacing w:after="0"/>
              <w:rPr>
                <w:sz w:val="16"/>
                <w:szCs w:val="16"/>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56,443</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112,819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61,289</w:t>
            </w:r>
          </w:p>
        </w:tc>
        <w:tc>
          <w:tcPr>
            <w:tcW w:w="60" w:type="dxa"/>
            <w:vAlign w:val="bottom"/>
          </w:tcPr>
          <w:p>
            <w:pPr>
              <w:spacing w:after="0"/>
              <w:rPr>
                <w:sz w:val="15"/>
                <w:szCs w:val="15"/>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87,511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59,139</w:t>
            </w:r>
          </w:p>
        </w:tc>
        <w:tc>
          <w:tcPr>
            <w:tcW w:w="80" w:type="dxa"/>
            <w:vAlign w:val="bottom"/>
          </w:tcPr>
          <w:p>
            <w:pPr>
              <w:spacing w:after="0"/>
              <w:rPr>
                <w:sz w:val="15"/>
                <w:szCs w:val="15"/>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9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2: Selected Metrics—Consolidated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w w:val="97"/>
              </w:rPr>
              <w:t>2025 Q3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Pr>
          <w:p>
            <w:pPr>
              <w:spacing w:after="0"/>
              <w:rPr>
                <w:sz w:val="17"/>
                <w:szCs w:val="17"/>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Pr>
          <w:p>
            <w:pPr>
              <w:spacing w:after="0"/>
              <w:rPr>
                <w:sz w:val="17"/>
                <w:szCs w:val="17"/>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Q4</w:t>
            </w:r>
          </w:p>
        </w:tc>
        <w:tc>
          <w:tcPr>
            <w:tcW w:w="16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Q3</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7"/>
                <w:szCs w:val="17"/>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Metrics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Net interest income growth (period over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Pr>
          <w:p>
            <w:pPr>
              <w:spacing w:after="0"/>
              <w:rPr>
                <w:sz w:val="11"/>
                <w:szCs w:val="11"/>
                <w:color w:val="auto"/>
              </w:rPr>
            </w:pPr>
          </w:p>
        </w:tc>
        <w:tc>
          <w:tcPr>
            <w:tcW w:w="7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1"/>
                <w:szCs w:val="11"/>
                <w:color w:val="auto"/>
              </w:rPr>
            </w:pPr>
          </w:p>
        </w:tc>
        <w:tc>
          <w:tcPr>
            <w:tcW w:w="7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Non-interest income growth (period over</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 growth (period over period)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7"/>
              </w:rPr>
              <w:t>(2)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 margin</w:t>
            </w:r>
            <w:r>
              <w:rPr>
                <w:rFonts w:ascii="Times New Roman" w:cs="Times New Roman" w:eastAsia="Times New Roman" w:hAnsi="Times New Roman"/>
                <w:sz w:val="17"/>
                <w:szCs w:val="17"/>
                <w:color w:val="auto"/>
                <w:vertAlign w:val="superscript"/>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10.36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9.52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8.64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84 bps</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 bps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9.57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bps</w:t>
            </w:r>
          </w:p>
        </w:tc>
        <w:tc>
          <w:tcPr>
            <w:tcW w:w="0" w:type="dxa"/>
            <w:vAlign w:val="bottom"/>
          </w:tcPr>
          <w:p>
            <w:pPr>
              <w:spacing w:after="0"/>
              <w:rPr>
                <w:sz w:val="1"/>
                <w:szCs w:val="1"/>
                <w:color w:val="auto"/>
              </w:rPr>
            </w:pPr>
          </w:p>
        </w:tc>
      </w:tr>
      <w:tr>
        <w:trPr>
          <w:trHeight w:val="194"/>
        </w:trPr>
        <w:tc>
          <w:tcPr>
            <w:tcW w:w="264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Net interest margin</w:t>
            </w:r>
            <w:r>
              <w:rPr>
                <w:rFonts w:ascii="Times New Roman" w:cs="Times New Roman" w:eastAsia="Times New Roman" w:hAnsi="Times New Roman"/>
                <w:sz w:val="17"/>
                <w:szCs w:val="17"/>
                <w:color w:val="auto"/>
                <w:vertAlign w:val="superscript"/>
              </w:rPr>
              <w:t>(5)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8.36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7.62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6.93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7.03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7.69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Return on average assets</w:t>
            </w:r>
            <w:r>
              <w:rPr>
                <w:rFonts w:ascii="Times New Roman" w:cs="Times New Roman" w:eastAsia="Times New Roman" w:hAnsi="Times New Roman"/>
                <w:sz w:val="17"/>
                <w:szCs w:val="17"/>
                <w:color w:val="auto"/>
                <w:vertAlign w:val="superscript"/>
              </w:rPr>
              <w:t>(6)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1.94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(2.98)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0.90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4"/>
        </w:trPr>
        <w:tc>
          <w:tcPr>
            <w:tcW w:w="264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Return on average tangible assets</w:t>
            </w:r>
            <w:r>
              <w:rPr>
                <w:rFonts w:ascii="Times New Roman" w:cs="Times New Roman" w:eastAsia="Times New Roman" w:hAnsi="Times New Roman"/>
                <w:sz w:val="17"/>
                <w:szCs w:val="17"/>
                <w:color w:val="auto"/>
                <w:vertAlign w:val="superscript"/>
              </w:rPr>
              <w:t>(7)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(3.14)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0.92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Return on average common equity</w:t>
            </w:r>
            <w:r>
              <w:rPr>
                <w:rFonts w:ascii="Times New Roman" w:cs="Times New Roman" w:eastAsia="Times New Roman" w:hAnsi="Times New Roman"/>
                <w:sz w:val="17"/>
                <w:szCs w:val="17"/>
                <w:color w:val="auto"/>
                <w:vertAlign w:val="superscript"/>
              </w:rPr>
              <w:t>(8)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11.50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(21.22)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9.23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7.16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3,272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94"/>
        </w:trPr>
        <w:tc>
          <w:tcPr>
            <w:tcW w:w="264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Return on average tangible common equity</w:t>
            </w:r>
            <w:r>
              <w:rPr>
                <w:rFonts w:ascii="Times New Roman" w:cs="Times New Roman" w:eastAsia="Times New Roman" w:hAnsi="Times New Roman"/>
                <w:sz w:val="17"/>
                <w:szCs w:val="17"/>
                <w:color w:val="auto"/>
                <w:vertAlign w:val="superscript"/>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18.82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(32.99)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12.55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9.77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16.42</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5,181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(1,136)</w:t>
            </w: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Efficiency ratio</w:t>
            </w:r>
            <w:r>
              <w:rPr>
                <w:rFonts w:ascii="Times New Roman" w:cs="Times New Roman" w:eastAsia="Times New Roman" w:hAnsi="Times New Roman"/>
                <w:sz w:val="17"/>
                <w:szCs w:val="17"/>
                <w:color w:val="auto"/>
                <w:vertAlign w:val="superscript"/>
              </w:rPr>
              <w:t>(10)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53.80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55.96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59.02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59.75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53.07</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55.89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53.24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94"/>
        </w:trPr>
        <w:tc>
          <w:tcPr>
            <w:tcW w:w="264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Operating efficiency ratio</w:t>
            </w:r>
            <w:r>
              <w:rPr>
                <w:rFonts w:ascii="Times New Roman" w:cs="Times New Roman" w:eastAsia="Times New Roman" w:hAnsi="Times New Roman"/>
                <w:sz w:val="17"/>
                <w:szCs w:val="17"/>
                <w:color w:val="auto"/>
                <w:vertAlign w:val="superscript"/>
              </w:rPr>
              <w:t>(11)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44.66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45.20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47.00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46.26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41.95</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45.46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42.22</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Effective income tax rate for continuing</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27.1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28.1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25.1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(83.5)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Employees (period-end, in thousands)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77.0</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76.5</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53.9</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52.6</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77.0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3"/>
        </w:trPr>
        <w:tc>
          <w:tcPr>
            <w:tcW w:w="2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Credit Quality Metrics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23,103</w:t>
            </w: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23,873</w:t>
            </w:r>
          </w:p>
        </w:tc>
        <w:tc>
          <w:tcPr>
            <w:tcW w:w="14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15,899</w:t>
            </w:r>
          </w:p>
        </w:tc>
        <w:tc>
          <w:tcPr>
            <w:tcW w:w="14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16,258</w:t>
            </w:r>
          </w:p>
        </w:tc>
        <w:tc>
          <w:tcPr>
            <w:tcW w:w="14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16,534</w:t>
            </w:r>
          </w:p>
        </w:tc>
        <w:tc>
          <w:tcPr>
            <w:tcW w:w="8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23,103</w:t>
            </w:r>
          </w:p>
        </w:tc>
        <w:tc>
          <w:tcPr>
            <w:tcW w:w="8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16,534</w:t>
            </w:r>
          </w:p>
        </w:tc>
        <w:tc>
          <w:tcPr>
            <w:tcW w:w="80" w:type="dxa"/>
            <w:vAlign w:val="bottom"/>
          </w:tcPr>
          <w:p>
            <w:pPr>
              <w:spacing w:after="0"/>
              <w:rPr>
                <w:sz w:val="15"/>
                <w:szCs w:val="15"/>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coverage ratio</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w w:val="99"/>
              </w:rPr>
              <w:t>4.91%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(22)bps</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 bps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bps</w:t>
            </w:r>
          </w:p>
        </w:tc>
        <w:tc>
          <w:tcPr>
            <w:tcW w:w="0" w:type="dxa"/>
            <w:vAlign w:val="bottom"/>
          </w:tcPr>
          <w:p>
            <w:pPr>
              <w:spacing w:after="0"/>
              <w:rPr>
                <w:sz w:val="1"/>
                <w:szCs w:val="1"/>
                <w:color w:val="auto"/>
              </w:rPr>
            </w:pPr>
          </w:p>
        </w:tc>
      </w:tr>
      <w:tr>
        <w:trPr>
          <w:trHeight w:val="194"/>
        </w:trPr>
        <w:tc>
          <w:tcPr>
            <w:tcW w:w="264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Net charge-offs</w:t>
            </w:r>
            <w:r>
              <w:rPr>
                <w:rFonts w:ascii="Times New Roman" w:cs="Times New Roman" w:eastAsia="Times New Roman" w:hAnsi="Times New Roman"/>
                <w:sz w:val="17"/>
                <w:szCs w:val="17"/>
                <w:color w:val="auto"/>
                <w:vertAlign w:val="superscript"/>
              </w:rPr>
              <w:t>(12)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3,473</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3,060</w:t>
            </w:r>
          </w:p>
        </w:tc>
        <w:tc>
          <w:tcPr>
            <w:tcW w:w="14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2,736</w:t>
            </w:r>
          </w:p>
        </w:tc>
        <w:tc>
          <w:tcPr>
            <w:tcW w:w="14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2,884</w:t>
            </w:r>
          </w:p>
        </w:tc>
        <w:tc>
          <w:tcPr>
            <w:tcW w:w="14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2,604</w:t>
            </w:r>
          </w:p>
        </w:tc>
        <w:tc>
          <w:tcPr>
            <w:tcW w:w="8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9,269</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7,864</w:t>
            </w:r>
          </w:p>
        </w:tc>
        <w:tc>
          <w:tcPr>
            <w:tcW w:w="80" w:type="dxa"/>
            <w:vAlign w:val="bottom"/>
          </w:tcPr>
          <w:p>
            <w:pPr>
              <w:spacing w:after="0"/>
              <w:rPr>
                <w:sz w:val="16"/>
                <w:szCs w:val="16"/>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Net charge-off rate</w:t>
            </w:r>
            <w:r>
              <w:rPr>
                <w:rFonts w:ascii="Times New Roman" w:cs="Times New Roman" w:eastAsia="Times New Roman" w:hAnsi="Times New Roman"/>
                <w:sz w:val="17"/>
                <w:szCs w:val="17"/>
                <w:color w:val="auto"/>
                <w:vertAlign w:val="superscript"/>
              </w:rPr>
              <w:t>(13)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w w:val="99"/>
              </w:rPr>
              <w:t>3.40%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(8)bps</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(11)bps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(7)bps</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day performing delinquency rate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3.29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3.69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4"/>
        </w:trPr>
        <w:tc>
          <w:tcPr>
            <w:tcW w:w="2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day delinquency rate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3.50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3.51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3.98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3"/>
        </w:trPr>
        <w:tc>
          <w:tcPr>
            <w:tcW w:w="2640" w:type="dxa"/>
            <w:vAlign w:val="bottom"/>
            <w:tcBorders>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Capital Ratios</w:t>
            </w:r>
            <w:r>
              <w:rPr>
                <w:rFonts w:ascii="Times New Roman" w:cs="Times New Roman" w:eastAsia="Times New Roman" w:hAnsi="Times New Roman"/>
                <w:sz w:val="17"/>
                <w:szCs w:val="17"/>
                <w:b w:val="1"/>
                <w:bCs w:val="1"/>
                <w:color w:val="auto"/>
                <w:vertAlign w:val="superscript"/>
              </w:rPr>
              <w:t>(14)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capital</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4"/>
                <w:szCs w:val="14"/>
                <w:color w:val="auto"/>
                <w:w w:val="99"/>
              </w:rPr>
              <w:t>13.6%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40 bps</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 bps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97"/>
              </w:rPr>
              <w:t>80 bps</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capital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15.5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17.4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leverage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12.6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Tangible common equity (“TCE”)</w:t>
            </w:r>
            <w:r>
              <w:rPr>
                <w:rFonts w:ascii="Times New Roman" w:cs="Times New Roman" w:eastAsia="Times New Roman" w:hAnsi="Times New Roman"/>
                <w:sz w:val="17"/>
                <w:szCs w:val="17"/>
                <w:color w:val="auto"/>
                <w:vertAlign w:val="superscript"/>
              </w:rPr>
              <w:t>(15)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10.8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3: Consolidated Statements of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2025 Q3</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gridSpan w:val="2"/>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2025 vs.</w:t>
            </w:r>
          </w:p>
        </w:tc>
        <w:tc>
          <w:tcPr>
            <w:tcW w:w="0" w:type="dxa"/>
            <w:vAlign w:val="bottom"/>
          </w:tcPr>
          <w:p>
            <w:pPr>
              <w:spacing w:after="0"/>
              <w:rPr>
                <w:sz w:val="1"/>
                <w:szCs w:val="1"/>
                <w:color w:val="auto"/>
              </w:rPr>
            </w:pPr>
          </w:p>
        </w:tc>
      </w:tr>
      <w:tr>
        <w:trPr>
          <w:trHeight w:val="20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 except as noted)</w:t>
            </w:r>
          </w:p>
        </w:tc>
        <w:tc>
          <w:tcPr>
            <w:tcW w:w="14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160" w:type="dxa"/>
            <w:vAlign w:val="bottom"/>
          </w:tcPr>
          <w:p>
            <w:pPr>
              <w:spacing w:after="0"/>
              <w:rPr>
                <w:sz w:val="17"/>
                <w:szCs w:val="17"/>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Q2</w:t>
            </w:r>
          </w:p>
        </w:tc>
        <w:tc>
          <w:tcPr>
            <w:tcW w:w="14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Q1</w:t>
            </w:r>
          </w:p>
        </w:tc>
        <w:tc>
          <w:tcPr>
            <w:tcW w:w="14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Q4</w:t>
            </w:r>
          </w:p>
        </w:tc>
        <w:tc>
          <w:tcPr>
            <w:tcW w:w="140" w:type="dxa"/>
            <w:vAlign w:val="bottom"/>
          </w:tcPr>
          <w:p>
            <w:pPr>
              <w:spacing w:after="0"/>
              <w:rPr>
                <w:sz w:val="17"/>
                <w:szCs w:val="17"/>
                <w:color w:val="auto"/>
              </w:rPr>
            </w:pPr>
          </w:p>
        </w:tc>
        <w:tc>
          <w:tcPr>
            <w:tcW w:w="54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8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Q3</w:t>
            </w:r>
          </w:p>
        </w:tc>
        <w:tc>
          <w:tcPr>
            <w:tcW w:w="140" w:type="dxa"/>
            <w:vAlign w:val="bottom"/>
          </w:tcPr>
          <w:p>
            <w:pPr>
              <w:spacing w:after="0"/>
              <w:rPr>
                <w:sz w:val="17"/>
                <w:szCs w:val="17"/>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gridSpan w:val="2"/>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1"/>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Loans, including loans held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15,229</w:t>
            </w:r>
          </w:p>
        </w:tc>
        <w:tc>
          <w:tcPr>
            <w:tcW w:w="8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37,835</w:t>
            </w:r>
          </w:p>
        </w:tc>
        <w:tc>
          <w:tcPr>
            <w:tcW w:w="8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Investment securities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88"/>
        </w:trPr>
        <w:tc>
          <w:tcPr>
            <w:tcW w:w="3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86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ind w:right="95"/>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1,797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6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94"/>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 income</w:t>
            </w: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16,763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11,860</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42,009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34,317</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Deposits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8,631</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Securitized debt obligations</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6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Senior and subordinated notes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8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8"/>
        </w:trPr>
        <w:tc>
          <w:tcPr>
            <w:tcW w:w="3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Other borrowings</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6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ind w:right="95"/>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6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87"/>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 expense</w:t>
            </w: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4,359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3,784</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11,597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11,207</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8,076</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30,412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2,714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w:t>
            </w:r>
          </w:p>
        </w:tc>
        <w:tc>
          <w:tcPr>
            <w:tcW w:w="8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16,513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81"/>
        </w:trPr>
        <w:tc>
          <w:tcPr>
            <w:tcW w:w="3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Net interest income (loss) after provision for credit losses</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9,690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5,594</w:t>
            </w:r>
          </w:p>
        </w:tc>
        <w:tc>
          <w:tcPr>
            <w:tcW w:w="860" w:type="dxa"/>
            <w:vAlign w:val="bottom"/>
            <w:tcBorders>
              <w:bottom w:val="single" w:sz="8" w:color="CCEEFF"/>
            </w:tcBorders>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jc w:val="right"/>
              <w:ind w:right="95"/>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13,899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860" w:type="dxa"/>
            <w:vAlign w:val="bottom"/>
            <w:tcBorders>
              <w:bottom w:val="single" w:sz="8" w:color="CCEEFF"/>
            </w:tcBorders>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Discount and interchange fees, net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Service charges and other customer-related fees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88"/>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Net securities loss</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6"/>
                <w:szCs w:val="16"/>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910</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7"/>
        </w:trPr>
        <w:tc>
          <w:tcPr>
            <w:tcW w:w="3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Total non-interest income</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2,955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1,938</w:t>
            </w:r>
          </w:p>
        </w:tc>
        <w:tc>
          <w:tcPr>
            <w:tcW w:w="86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ind w:right="95"/>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7,439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86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8"/>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Salaries and associate benefits</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7,069</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Occupancy and equipment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88"/>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Marketing</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Professional services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88"/>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Communications and data processing</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877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6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ind w:right="95"/>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2,137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6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94"/>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8,263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6,991</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5,314</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21,156</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8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(loss) from continuing operations before income taxes</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8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86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201"/>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(loss) from continuing operations, net of tax</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8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86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20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3,192</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8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319</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86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36"/>
        </w:trPr>
        <w:tc>
          <w:tcPr>
            <w:tcW w:w="340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Dividends and undistributed earnings allocated to participating</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60" w:type="dxa"/>
            <w:vAlign w:val="bottom"/>
            <w:gridSpan w:val="2"/>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60" w:type="dxa"/>
            <w:vAlign w:val="bottom"/>
            <w:gridSpan w:val="2"/>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81"/>
        </w:trPr>
        <w:tc>
          <w:tcPr>
            <w:tcW w:w="34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securities</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 stock dividends</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94"/>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on redeemed preferred stock</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available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3,086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8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3,423</w:t>
            </w:r>
          </w:p>
        </w:tc>
        <w:tc>
          <w:tcPr>
            <w:tcW w:w="86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897" w:right="339" w:bottom="1440" w:gutter="0" w:footer="0" w:header="0"/>
        </w:sectPr>
      </w:pPr>
    </w:p>
    <w:bookmarkStart w:id="12" w:name="page13"/>
    <w:bookmarkEnd w:id="12"/>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599440</wp:posOffset>
            </wp:positionV>
            <wp:extent cx="7138035" cy="147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140" w:type="dxa"/>
            <w:vAlign w:val="bottom"/>
          </w:tcPr>
          <w:p>
            <w:pPr>
              <w:spacing w:after="0"/>
              <w:rPr>
                <w:sz w:val="18"/>
                <w:szCs w:val="18"/>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Q2</w:t>
            </w:r>
          </w:p>
        </w:tc>
        <w:tc>
          <w:tcPr>
            <w:tcW w:w="14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Q1</w:t>
            </w:r>
          </w:p>
        </w:tc>
        <w:tc>
          <w:tcPr>
            <w:tcW w:w="160" w:type="dxa"/>
            <w:vAlign w:val="bottom"/>
          </w:tcPr>
          <w:p>
            <w:pPr>
              <w:spacing w:after="0"/>
              <w:rPr>
                <w:sz w:val="18"/>
                <w:szCs w:val="18"/>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Q4</w:t>
            </w:r>
          </w:p>
        </w:tc>
        <w:tc>
          <w:tcPr>
            <w:tcW w:w="140" w:type="dxa"/>
            <w:vAlign w:val="bottom"/>
          </w:tcPr>
          <w:p>
            <w:pPr>
              <w:spacing w:after="0"/>
              <w:rPr>
                <w:sz w:val="18"/>
                <w:szCs w:val="18"/>
                <w:color w:val="auto"/>
              </w:rPr>
            </w:pPr>
          </w:p>
        </w:tc>
        <w:tc>
          <w:tcPr>
            <w:tcW w:w="540" w:type="dxa"/>
            <w:vAlign w:val="bottom"/>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0" w:type="dxa"/>
            <w:vAlign w:val="bottom"/>
          </w:tcPr>
          <w:p>
            <w:pPr>
              <w:spacing w:after="0"/>
              <w:rPr>
                <w:sz w:val="1"/>
                <w:szCs w:val="1"/>
                <w:color w:val="auto"/>
              </w:rPr>
            </w:pPr>
          </w:p>
        </w:tc>
      </w:tr>
      <w:tr>
        <w:trPr>
          <w:trHeight w:val="192"/>
        </w:trPr>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common share:</w:t>
            </w:r>
            <w:r>
              <w:rPr>
                <w:rFonts w:ascii="Times New Roman" w:cs="Times New Roman" w:eastAsia="Times New Roman" w:hAnsi="Times New Roman"/>
                <w:sz w:val="16"/>
                <w:szCs w:val="16"/>
                <w:b w:val="1"/>
                <w:bCs w:val="1"/>
                <w:color w:val="auto"/>
                <w:vertAlign w:val="superscript"/>
              </w:rPr>
              <w:t>(2)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(8.55)</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7"/>
                <w:szCs w:val="17"/>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 per basic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(8.58)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common share:</w:t>
            </w:r>
            <w:r>
              <w:rPr>
                <w:rFonts w:ascii="Times New Roman" w:cs="Times New Roman" w:eastAsia="Times New Roman" w:hAnsi="Times New Roman"/>
                <w:sz w:val="16"/>
                <w:szCs w:val="16"/>
                <w:b w:val="1"/>
                <w:bCs w:val="1"/>
                <w:color w:val="auto"/>
                <w:vertAlign w:val="superscript"/>
              </w:rPr>
              <w:t>(2)</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440" w:type="dxa"/>
            <w:vAlign w:val="bottom"/>
            <w:gridSpan w:val="2"/>
            <w:vMerge w:val="continue"/>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 from continuing operations</w:t>
            </w: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(8.55)</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7"/>
                <w:szCs w:val="17"/>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(loss) per diluted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(8.58)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Weighted-average common shares outstanding (in millions):</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639.0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Basic common shares</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505.6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383.0</w:t>
            </w:r>
          </w:p>
        </w:tc>
        <w:tc>
          <w:tcPr>
            <w:tcW w:w="0" w:type="dxa"/>
            <w:vAlign w:val="bottom"/>
          </w:tcPr>
          <w:p>
            <w:pPr>
              <w:spacing w:after="0"/>
              <w:rPr>
                <w:sz w:val="1"/>
                <w:szCs w:val="1"/>
                <w:color w:val="auto"/>
              </w:rPr>
            </w:pPr>
          </w:p>
        </w:tc>
      </w:tr>
      <w:tr>
        <w:trPr>
          <w:trHeight w:val="19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Diluted common shares</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505.6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-1365250</wp:posOffset>
            </wp:positionV>
            <wp:extent cx="7138035" cy="123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-1118235</wp:posOffset>
            </wp:positionV>
            <wp:extent cx="7138035" cy="123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-854710</wp:posOffset>
            </wp:positionV>
            <wp:extent cx="7138035" cy="115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1155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-615950</wp:posOffset>
            </wp:positionV>
            <wp:extent cx="7138035" cy="123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-353060</wp:posOffset>
            </wp:positionV>
            <wp:extent cx="7138035" cy="115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1155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-114300</wp:posOffset>
            </wp:positionV>
            <wp:extent cx="7138035" cy="123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123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0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2025 Q3</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81"/>
        </w:trPr>
        <w:tc>
          <w:tcPr>
            <w:tcW w:w="78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2025 vs.</w:t>
            </w:r>
          </w:p>
        </w:tc>
        <w:tc>
          <w:tcPr>
            <w:tcW w:w="0" w:type="dxa"/>
            <w:vAlign w:val="bottom"/>
          </w:tcPr>
          <w:p>
            <w:pPr>
              <w:spacing w:after="0"/>
              <w:rPr>
                <w:sz w:val="1"/>
                <w:szCs w:val="1"/>
                <w:color w:val="auto"/>
              </w:rPr>
            </w:pPr>
          </w:p>
        </w:tc>
      </w:tr>
      <w:tr>
        <w:trPr>
          <w:trHeight w:val="214"/>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Q2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3"/>
                <w:szCs w:val="13"/>
                <w:b w:val="1"/>
                <w:bCs w:val="1"/>
                <w:color w:val="auto"/>
              </w:rPr>
              <w:t>Q3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362"/>
        </w:trPr>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0.26</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1"/>
        </w:trPr>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(0.03)</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0.23</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86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
        </w:trPr>
        <w:tc>
          <w:tcPr>
            <w:tcW w:w="7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0.26</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1"/>
        </w:trPr>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(0.03)</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0.23</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86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78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5"/>
              </w:rPr>
              <w:t>26 %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0" w:type="dxa"/>
            <w:vAlign w:val="bottom"/>
          </w:tcPr>
          <w:p>
            <w:pPr>
              <w:spacing w:after="0"/>
              <w:rPr>
                <w:sz w:val="1"/>
                <w:szCs w:val="1"/>
                <w:color w:val="auto"/>
              </w:rPr>
            </w:pPr>
          </w:p>
        </w:tc>
      </w:tr>
      <w:tr>
        <w:trPr>
          <w:trHeight w:val="194"/>
        </w:trPr>
        <w:tc>
          <w:tcPr>
            <w:tcW w:w="7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510.9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86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-1892300</wp:posOffset>
            </wp:positionV>
            <wp:extent cx="913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80"/>
            <w:col w:w="4020"/>
          </w:cols>
          <w:pgMar w:left="320" w:top="1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17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4: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2025 Q3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18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89"/>
              </w:rPr>
              <w:t>Q1</w:t>
            </w:r>
          </w:p>
        </w:tc>
        <w:tc>
          <w:tcPr>
            <w:tcW w:w="120" w:type="dxa"/>
            <w:vAlign w:val="bottom"/>
          </w:tcPr>
          <w:p>
            <w:pPr>
              <w:spacing w:after="0"/>
              <w:rPr>
                <w:sz w:val="15"/>
                <w:szCs w:val="15"/>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Q4</w:t>
            </w:r>
          </w:p>
        </w:tc>
        <w:tc>
          <w:tcPr>
            <w:tcW w:w="120" w:type="dxa"/>
            <w:vAlign w:val="bottom"/>
          </w:tcPr>
          <w:p>
            <w:pPr>
              <w:spacing w:after="0"/>
              <w:rPr>
                <w:sz w:val="15"/>
                <w:szCs w:val="15"/>
                <w:color w:val="auto"/>
              </w:rPr>
            </w:pPr>
          </w:p>
        </w:tc>
        <w:tc>
          <w:tcPr>
            <w:tcW w:w="5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5"/>
                <w:szCs w:val="15"/>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Q2</w:t>
            </w:r>
          </w:p>
        </w:tc>
        <w:tc>
          <w:tcPr>
            <w:tcW w:w="50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89"/>
              </w:rPr>
              <w:t>Q3</w:t>
            </w:r>
          </w:p>
        </w:tc>
        <w:tc>
          <w:tcPr>
            <w:tcW w:w="0" w:type="dxa"/>
            <w:vAlign w:val="bottom"/>
          </w:tcPr>
          <w:p>
            <w:pPr>
              <w:spacing w:after="0"/>
              <w:rPr>
                <w:sz w:val="1"/>
                <w:szCs w:val="1"/>
                <w:color w:val="auto"/>
              </w:rPr>
            </w:pPr>
          </w:p>
        </w:tc>
      </w:tr>
      <w:tr>
        <w:trPr>
          <w:trHeight w:val="23"/>
        </w:trPr>
        <w:tc>
          <w:tcPr>
            <w:tcW w:w="6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9"/>
              </w:rPr>
              <w:t>(5)%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9"/>
        </w:trPr>
        <w:tc>
          <w:tcPr>
            <w:tcW w:w="6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Interest-bearing deposits and other short-term investments</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50,673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54,255</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40,202</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45,322</w:t>
            </w:r>
          </w:p>
        </w:tc>
        <w:tc>
          <w:tcPr>
            <w:tcW w:w="8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49,298</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 for securitization investors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89,733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83,013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8"/>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Unsecuritized loans held for investment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389,808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298,241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292,061</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9"/>
        </w:trPr>
        <w:tc>
          <w:tcPr>
            <w:tcW w:w="6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Loans held in consolidated trusts</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53,351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54,884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29,534</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28,182</w:t>
            </w:r>
          </w:p>
        </w:tc>
        <w:tc>
          <w:tcPr>
            <w:tcW w:w="8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443,159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327,775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320,243</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9"/>
        </w:trPr>
        <w:tc>
          <w:tcPr>
            <w:tcW w:w="6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(23,103)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(16,258)</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(16,534)</w:t>
            </w:r>
          </w:p>
        </w:tc>
        <w:tc>
          <w:tcPr>
            <w:tcW w:w="8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420,056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307,699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311,517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303,709</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8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17,042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27,056</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Assets of discontinued operations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661,877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CCEEFF"/>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89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3"/>
        </w:trPr>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2025 Q3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8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Q3</w:t>
            </w:r>
          </w:p>
        </w:tc>
        <w:tc>
          <w:tcPr>
            <w:tcW w:w="120" w:type="dxa"/>
            <w:vAlign w:val="bottom"/>
          </w:tcPr>
          <w:p>
            <w:pPr>
              <w:spacing w:after="0"/>
              <w:rPr>
                <w:sz w:val="15"/>
                <w:szCs w:val="15"/>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Q2</w:t>
            </w:r>
          </w:p>
        </w:tc>
        <w:tc>
          <w:tcPr>
            <w:tcW w:w="12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5"/>
                <w:szCs w:val="15"/>
                <w:color w:val="auto"/>
              </w:rPr>
            </w:pPr>
          </w:p>
        </w:tc>
        <w:tc>
          <w:tcPr>
            <w:tcW w:w="5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89"/>
              </w:rPr>
              <w:t>Q3</w:t>
            </w:r>
          </w:p>
        </w:tc>
        <w:tc>
          <w:tcPr>
            <w:tcW w:w="80" w:type="dxa"/>
            <w:vAlign w:val="bottom"/>
          </w:tcPr>
          <w:p>
            <w:pPr>
              <w:spacing w:after="0"/>
              <w:rPr>
                <w:sz w:val="15"/>
                <w:szCs w:val="15"/>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Q2</w:t>
            </w: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89"/>
              </w:rPr>
              <w:t>Q3</w:t>
            </w:r>
          </w:p>
        </w:tc>
        <w:tc>
          <w:tcPr>
            <w:tcW w:w="0" w:type="dxa"/>
            <w:vAlign w:val="bottom"/>
          </w:tcPr>
          <w:p>
            <w:pPr>
              <w:spacing w:after="0"/>
              <w:rPr>
                <w:sz w:val="1"/>
                <w:szCs w:val="1"/>
                <w:color w:val="auto"/>
              </w:rPr>
            </w:pPr>
          </w:p>
        </w:tc>
      </w:tr>
      <w:tr>
        <w:trPr>
          <w:trHeight w:val="23"/>
        </w:trPr>
        <w:tc>
          <w:tcPr>
            <w:tcW w:w="5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26,378</w:t>
            </w:r>
          </w:p>
        </w:tc>
        <w:tc>
          <w:tcPr>
            <w:tcW w:w="80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441,136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440,231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340,964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336,585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327,253</w:t>
            </w: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468,785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468,110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353,631</w:t>
            </w:r>
          </w:p>
        </w:tc>
        <w:tc>
          <w:tcPr>
            <w:tcW w:w="80" w:type="dxa"/>
            <w:vAlign w:val="bottom"/>
          </w:tcPr>
          <w:p>
            <w:pPr>
              <w:spacing w:after="0"/>
              <w:rPr>
                <w:sz w:val="15"/>
                <w:szCs w:val="15"/>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Securitized debt obligations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w:t>
            </w:r>
          </w:p>
        </w:tc>
        <w:tc>
          <w:tcPr>
            <w:tcW w:w="8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debt:</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Federal funds purchased and securities loaned or sold under agreements to repurchase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9"/>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Senior and subordinated notes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36,662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32,911</w:t>
            </w:r>
          </w:p>
        </w:tc>
        <w:tc>
          <w:tcPr>
            <w:tcW w:w="80" w:type="dxa"/>
            <w:vAlign w:val="bottom"/>
          </w:tcPr>
          <w:p>
            <w:pPr>
              <w:spacing w:after="0"/>
              <w:rPr>
                <w:sz w:val="16"/>
                <w:szCs w:val="16"/>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borrowings</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other debt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37,840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33,455</w:t>
            </w:r>
          </w:p>
        </w:tc>
        <w:tc>
          <w:tcPr>
            <w:tcW w:w="80" w:type="dxa"/>
            <w:vAlign w:val="bottom"/>
          </w:tcPr>
          <w:p>
            <w:pPr>
              <w:spacing w:after="0"/>
              <w:rPr>
                <w:sz w:val="15"/>
                <w:szCs w:val="15"/>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19,836</w:t>
            </w:r>
          </w:p>
        </w:tc>
        <w:tc>
          <w:tcPr>
            <w:tcW w:w="8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 of discontinued operations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548,064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548,012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430,062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429,360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423,508</w:t>
            </w:r>
          </w:p>
        </w:tc>
        <w:tc>
          <w:tcPr>
            <w:tcW w:w="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5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Additional paid-in capital, net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63,725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36,216</w:t>
            </w:r>
          </w:p>
        </w:tc>
        <w:tc>
          <w:tcPr>
            <w:tcW w:w="80" w:type="dxa"/>
            <w:vAlign w:val="bottom"/>
          </w:tcPr>
          <w:p>
            <w:pPr>
              <w:spacing w:after="0"/>
              <w:rPr>
                <w:sz w:val="16"/>
                <w:szCs w:val="16"/>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63,624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63,698</w:t>
            </w:r>
          </w:p>
        </w:tc>
        <w:tc>
          <w:tcPr>
            <w:tcW w:w="8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(6,287)</w:t>
            </w:r>
          </w:p>
        </w:tc>
        <w:tc>
          <w:tcPr>
            <w:tcW w:w="80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(30,709)</w:t>
            </w:r>
          </w:p>
        </w:tc>
        <w:tc>
          <w:tcPr>
            <w:tcW w:w="8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2"/>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113,813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110,956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63,542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60,784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62,925</w:t>
            </w:r>
          </w:p>
        </w:tc>
        <w:tc>
          <w:tcPr>
            <w:tcW w:w="800" w:type="dxa"/>
            <w:vAlign w:val="bottom"/>
            <w:tcBorders>
              <w:bottom w:val="single" w:sz="8" w:color="CCEEFF"/>
            </w:tcBorders>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8"/>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661,877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658,968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493,604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490,144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486,433</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9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5: Notes to Financial Summary, Selected Metrics and Consolidated Financial Statements (Tables 1—4)</w:t>
      </w:r>
    </w:p>
    <w:p>
      <w:pPr>
        <w:spacing w:after="0" w:line="326" w:lineRule="exact"/>
        <w:rPr>
          <w:sz w:val="20"/>
          <w:szCs w:val="20"/>
          <w:color w:val="auto"/>
        </w:rPr>
      </w:pPr>
    </w:p>
    <w:p>
      <w:pPr>
        <w:ind w:left="320" w:hanging="316"/>
        <w:spacing w:after="0" w:line="228" w:lineRule="auto"/>
        <w:tabs>
          <w:tab w:leader="none" w:pos="30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 net revenue was reduced by $869 million in Q3 2025, $785 million in Q2 2025, $705 million in Q1 2025, $706 million in Q4 2024 and $624 million in Q3 2024 for credit card finance charges and fees charged off as uncollectible.</w:t>
      </w:r>
    </w:p>
    <w:p>
      <w:pPr>
        <w:spacing w:after="0" w:line="39" w:lineRule="exact"/>
        <w:rPr>
          <w:rFonts w:ascii="Times New Roman" w:cs="Times New Roman" w:eastAsia="Times New Roman" w:hAnsi="Times New Roman"/>
          <w:sz w:val="18"/>
          <w:szCs w:val="18"/>
          <w:color w:val="auto"/>
          <w:vertAlign w:val="superscript"/>
        </w:rPr>
      </w:pPr>
    </w:p>
    <w:p>
      <w:pPr>
        <w:jc w:val="both"/>
        <w:ind w:left="320" w:hanging="316"/>
        <w:spacing w:after="0" w:line="229" w:lineRule="auto"/>
        <w:tabs>
          <w:tab w:leader="none" w:pos="30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Dividends and undistributed earnings allocated to participating securities and earnings per share are computed independently for each period. Accordingly, the sum of each quarterly amount may not agree to the year-to-date total. We also provide adjusted diluted earnings per share, which is a non-GAAP measure. See “Table 15: Calculation of Regulatory Capital Measures and Reconciliation of Non-GAAP Measures” for additional information on our non-GAAP measures.</w:t>
      </w:r>
    </w:p>
    <w:p>
      <w:pPr>
        <w:spacing w:after="0" w:line="39" w:lineRule="exact"/>
        <w:rPr>
          <w:rFonts w:ascii="Times New Roman" w:cs="Times New Roman" w:eastAsia="Times New Roman" w:hAnsi="Times New Roman"/>
          <w:sz w:val="18"/>
          <w:szCs w:val="18"/>
          <w:color w:val="auto"/>
          <w:vertAlign w:val="superscript"/>
        </w:rPr>
      </w:pPr>
    </w:p>
    <w:p>
      <w:pPr>
        <w:ind w:left="320" w:hanging="316"/>
        <w:spacing w:after="0" w:line="228" w:lineRule="auto"/>
        <w:tabs>
          <w:tab w:leader="none" w:pos="30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book value per common share is a non-GAAP measure calculated based on TCE divided by common shares outstanding. See “Table 15: Calculation of Regulatory Capital Measures and Reconciliation of Non-GAAP Measures” for additional information on non-GAAP measures.</w:t>
      </w:r>
    </w:p>
    <w:p>
      <w:pPr>
        <w:spacing w:after="0" w:line="13" w:lineRule="exact"/>
        <w:rPr>
          <w:rFonts w:ascii="Times New Roman" w:cs="Times New Roman" w:eastAsia="Times New Roman" w:hAnsi="Times New Roman"/>
          <w:sz w:val="18"/>
          <w:szCs w:val="18"/>
          <w:color w:val="auto"/>
          <w:vertAlign w:val="superscript"/>
        </w:rPr>
      </w:pPr>
    </w:p>
    <w:p>
      <w:pPr>
        <w:ind w:left="300" w:hanging="296"/>
        <w:spacing w:after="0"/>
        <w:tabs>
          <w:tab w:leader="none" w:pos="30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 net revenue margin is calculated based on annualized total net revenue for the period divided by average interest-earning assets for the period.</w:t>
      </w:r>
    </w:p>
    <w:p>
      <w:pPr>
        <w:spacing w:after="0" w:line="42" w:lineRule="exact"/>
        <w:rPr>
          <w:rFonts w:ascii="Times New Roman" w:cs="Times New Roman" w:eastAsia="Times New Roman" w:hAnsi="Times New Roman"/>
          <w:sz w:val="18"/>
          <w:szCs w:val="18"/>
          <w:color w:val="auto"/>
          <w:vertAlign w:val="superscript"/>
        </w:rPr>
      </w:pPr>
    </w:p>
    <w:p>
      <w:pPr>
        <w:ind w:left="300" w:hanging="296"/>
        <w:spacing w:after="0"/>
        <w:tabs>
          <w:tab w:leader="none" w:pos="30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calculated based on annualized net interest income for the period divided by average interest-earning assets for the period.</w:t>
      </w:r>
    </w:p>
    <w:p>
      <w:pPr>
        <w:spacing w:after="0" w:line="17" w:lineRule="exact"/>
        <w:rPr>
          <w:rFonts w:ascii="Times New Roman" w:cs="Times New Roman" w:eastAsia="Times New Roman" w:hAnsi="Times New Roman"/>
          <w:sz w:val="9"/>
          <w:szCs w:val="9"/>
          <w:color w:val="auto"/>
        </w:rPr>
      </w:pPr>
    </w:p>
    <w:p>
      <w:pPr>
        <w:ind w:left="300" w:hanging="296"/>
        <w:spacing w:after="0"/>
        <w:tabs>
          <w:tab w:leader="none" w:pos="30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Return on average assets is calculated based on annualized income (loss) from continuing operations, net of tax, for the period divided by average total assets for the period.</w:t>
      </w:r>
    </w:p>
    <w:p>
      <w:pPr>
        <w:spacing w:after="0" w:line="52" w:lineRule="exact"/>
        <w:rPr>
          <w:rFonts w:ascii="Times New Roman" w:cs="Times New Roman" w:eastAsia="Times New Roman" w:hAnsi="Times New Roman"/>
          <w:sz w:val="18"/>
          <w:szCs w:val="18"/>
          <w:color w:val="auto"/>
          <w:vertAlign w:val="superscript"/>
        </w:rPr>
      </w:pPr>
    </w:p>
    <w:p>
      <w:pPr>
        <w:ind w:left="320" w:hanging="316"/>
        <w:spacing w:after="0" w:line="219" w:lineRule="auto"/>
        <w:tabs>
          <w:tab w:leader="none" w:pos="30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Return on average tangible assets is a non-GAAP measure calculated based on annualized income (loss) from continuing operations, net of tax, for the period divided by average tangible assets for the period. See “Table 15: Calculation of Regulatory Capital Measures and Reconciliation of Non-GAAP Measures” for additional information on non-GAAP measures.</w:t>
      </w:r>
    </w:p>
    <w:p>
      <w:pPr>
        <w:spacing w:after="0" w:line="40" w:lineRule="exact"/>
        <w:rPr>
          <w:rFonts w:ascii="Times New Roman" w:cs="Times New Roman" w:eastAsia="Times New Roman" w:hAnsi="Times New Roman"/>
          <w:sz w:val="18"/>
          <w:szCs w:val="18"/>
          <w:color w:val="auto"/>
          <w:vertAlign w:val="superscript"/>
        </w:rPr>
      </w:pPr>
    </w:p>
    <w:p>
      <w:pPr>
        <w:ind w:left="320" w:hanging="316"/>
        <w:spacing w:after="0" w:line="219" w:lineRule="auto"/>
        <w:tabs>
          <w:tab w:leader="none" w:pos="30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Return on average common equity is calculated based on annualized net income (loss) available to common stockholders less annualized income (loss) from discontinued operations, net of tax, for the period, divided by average common equity. Our calculation of return on average common equity may not be comparable to similarly-titled measures reported by other companies.</w:t>
      </w:r>
    </w:p>
    <w:p>
      <w:pPr>
        <w:spacing w:after="0" w:line="40" w:lineRule="exact"/>
        <w:rPr>
          <w:rFonts w:ascii="Times New Roman" w:cs="Times New Roman" w:eastAsia="Times New Roman" w:hAnsi="Times New Roman"/>
          <w:sz w:val="18"/>
          <w:szCs w:val="18"/>
          <w:color w:val="auto"/>
          <w:vertAlign w:val="superscript"/>
        </w:rPr>
      </w:pPr>
    </w:p>
    <w:p>
      <w:pPr>
        <w:jc w:val="both"/>
        <w:ind w:left="320" w:hanging="316"/>
        <w:spacing w:after="0" w:line="235" w:lineRule="auto"/>
        <w:tabs>
          <w:tab w:leader="none" w:pos="30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Return on average tangible common equity is a non-GAAP measure calculated based on annualized net income (loss) available to common stockholders less annualized income (loss) from discontinued operations, net of tax, for the period, divided by average TCE. See “Table 15: Calculation of Regulatory Capital Measures and Reconciliation of Non-GAAP Measures” for additional information on non-GAAP measures.</w:t>
      </w:r>
    </w:p>
    <w:p>
      <w:pPr>
        <w:spacing w:after="0" w:line="39" w:lineRule="exact"/>
        <w:rPr>
          <w:rFonts w:ascii="Times New Roman" w:cs="Times New Roman" w:eastAsia="Times New Roman" w:hAnsi="Times New Roman"/>
          <w:sz w:val="18"/>
          <w:szCs w:val="18"/>
          <w:color w:val="auto"/>
          <w:vertAlign w:val="superscript"/>
        </w:rPr>
      </w:pPr>
    </w:p>
    <w:p>
      <w:pPr>
        <w:ind w:left="320" w:hanging="316"/>
        <w:spacing w:after="0" w:line="219" w:lineRule="auto"/>
        <w:tabs>
          <w:tab w:leader="none" w:pos="314"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Efficiency ratio is calculated based on total non-interest expense for the period divided by total net revenue for the period. We also provide an adjusted efficiency ratio, which is a non-GAAP measure. See “Table 15: Calculation of Regulatory Capital Measures and Reconciliation of Non-GAAP Measures” for additional information on our non-GAAP measures.</w:t>
      </w:r>
    </w:p>
    <w:p>
      <w:pPr>
        <w:spacing w:after="0" w:line="40" w:lineRule="exact"/>
        <w:rPr>
          <w:rFonts w:ascii="Times New Roman" w:cs="Times New Roman" w:eastAsia="Times New Roman" w:hAnsi="Times New Roman"/>
          <w:sz w:val="18"/>
          <w:szCs w:val="18"/>
          <w:color w:val="auto"/>
          <w:vertAlign w:val="superscript"/>
        </w:rPr>
      </w:pPr>
    </w:p>
    <w:p>
      <w:pPr>
        <w:ind w:left="320" w:hanging="316"/>
        <w:spacing w:after="0" w:line="228" w:lineRule="auto"/>
        <w:tabs>
          <w:tab w:leader="none" w:pos="311"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Operating efficiency ratio is calculated based on operating expense for the period divided by total net revenue for the period. We also provide an adjusted operating efficiency ratio, which is a non-GAAP measure. See “Table 15: Calculation of Regulatory Capital Measures and Reconciliation of Non-GAAP Measures” for additional information on our non-GAAP measures.</w:t>
      </w:r>
    </w:p>
    <w:p>
      <w:pPr>
        <w:spacing w:after="0" w:line="39" w:lineRule="exact"/>
        <w:rPr>
          <w:rFonts w:ascii="Times New Roman" w:cs="Times New Roman" w:eastAsia="Times New Roman" w:hAnsi="Times New Roman"/>
          <w:sz w:val="18"/>
          <w:szCs w:val="18"/>
          <w:color w:val="auto"/>
          <w:vertAlign w:val="superscript"/>
        </w:rPr>
      </w:pPr>
    </w:p>
    <w:p>
      <w:pPr>
        <w:ind w:left="320" w:hanging="316"/>
        <w:spacing w:after="0" w:line="228" w:lineRule="auto"/>
        <w:tabs>
          <w:tab w:leader="none" w:pos="314"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Charge-offs exclude $19.4 billion of Discover loans acquired in the second quarter of 2025 that were fully charged-off, with expected recoveries of $3.3 billion included as a benefit to the allowance for credit losses.</w:t>
      </w:r>
    </w:p>
    <w:p>
      <w:pPr>
        <w:spacing w:after="0" w:line="26" w:lineRule="exact"/>
        <w:rPr>
          <w:rFonts w:ascii="Times New Roman" w:cs="Times New Roman" w:eastAsia="Times New Roman" w:hAnsi="Times New Roman"/>
          <w:sz w:val="18"/>
          <w:szCs w:val="18"/>
          <w:color w:val="auto"/>
          <w:vertAlign w:val="superscript"/>
        </w:rPr>
      </w:pPr>
    </w:p>
    <w:p>
      <w:pPr>
        <w:ind w:left="300" w:hanging="296"/>
        <w:spacing w:after="0"/>
        <w:tabs>
          <w:tab w:leader="none" w:pos="30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charge-off rate is calculated based on annualized net charge-offs for the period divided by average loans held for investment for the period.</w:t>
      </w:r>
    </w:p>
    <w:p>
      <w:pPr>
        <w:spacing w:after="0" w:line="59" w:lineRule="exact"/>
        <w:rPr>
          <w:rFonts w:ascii="Times New Roman" w:cs="Times New Roman" w:eastAsia="Times New Roman" w:hAnsi="Times New Roman"/>
          <w:sz w:val="9"/>
          <w:szCs w:val="9"/>
          <w:color w:val="auto"/>
        </w:rPr>
      </w:pPr>
    </w:p>
    <w:p>
      <w:pPr>
        <w:ind w:left="320" w:hanging="316"/>
        <w:spacing w:after="0" w:line="228" w:lineRule="auto"/>
        <w:tabs>
          <w:tab w:leader="none" w:pos="314"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Capital ratios as of the end of Q3 2025 are preliminary and therefore subject to change. See “Table 15: Calculation of Regulatory Capital Measures and Reconciliation of Non-GAAP Measures” for information on the calculation of each of these ratios.</w:t>
      </w:r>
    </w:p>
    <w:p>
      <w:pPr>
        <w:spacing w:after="0" w:line="39" w:lineRule="exact"/>
        <w:rPr>
          <w:rFonts w:ascii="Times New Roman" w:cs="Times New Roman" w:eastAsia="Times New Roman" w:hAnsi="Times New Roman"/>
          <w:sz w:val="18"/>
          <w:szCs w:val="18"/>
          <w:color w:val="auto"/>
          <w:vertAlign w:val="superscript"/>
        </w:rPr>
      </w:pPr>
    </w:p>
    <w:p>
      <w:pPr>
        <w:ind w:left="320" w:hanging="316"/>
        <w:spacing w:after="0" w:line="228" w:lineRule="auto"/>
        <w:tabs>
          <w:tab w:leader="none" w:pos="314"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TCE ratio is a non-GAAP measure calculated based on TCE divided by tangible assets. See “Table 15: Calculation of Regulatory Capital Measures and Reconciliation of Non-GAAP Measures” for additional information on non-GAAP measures.</w:t>
      </w:r>
    </w:p>
    <w:p>
      <w:pPr>
        <w:spacing w:after="0" w:line="2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6: Average Balances, Net Interest Income and Net Interest Margin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2025 Q3</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2025 Q2</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2024 Q3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0"/>
                <w:szCs w:val="10"/>
                <w:color w:val="auto"/>
              </w:rPr>
            </w:pPr>
          </w:p>
        </w:tc>
        <w:tc>
          <w:tcPr>
            <w:tcW w:w="6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Income/</w:t>
            </w:r>
          </w:p>
        </w:tc>
        <w:tc>
          <w:tcPr>
            <w:tcW w:w="9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Yield/Rate</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Income/</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Yield/Rate</w:t>
            </w:r>
            <w:r>
              <w:rPr>
                <w:rFonts w:ascii="Times New Roman" w:cs="Times New Roman" w:eastAsia="Times New Roman" w:hAnsi="Times New Roman"/>
                <w:sz w:val="17"/>
                <w:szCs w:val="17"/>
                <w:b w:val="1"/>
                <w:bCs w:val="1"/>
                <w:color w:val="auto"/>
                <w:vertAlign w:val="superscript"/>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Income/</w:t>
            </w: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Yield/Rate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94"/>
        </w:trPr>
        <w:tc>
          <w:tcPr>
            <w:tcW w:w="3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Loans, including loans held for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440,374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15,229</w:t>
            </w:r>
          </w:p>
        </w:tc>
        <w:tc>
          <w:tcPr>
            <w:tcW w:w="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13.83%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378,537</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13.15%</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318,715</w:t>
            </w:r>
          </w:p>
        </w:tc>
        <w:tc>
          <w:tcPr>
            <w:tcW w:w="40" w:type="dxa"/>
            <w:vAlign w:val="bottom"/>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10,547</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96,186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3.42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93,024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90,644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Cash equivalents and other</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56,687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5.02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53,368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4.46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45,125</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9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593,247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16,763</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11.30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524,929</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10.54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454,484</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11,860</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16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439,527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387,139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3.22</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324,509</w:t>
            </w:r>
          </w:p>
        </w:tc>
        <w:tc>
          <w:tcPr>
            <w:tcW w:w="4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89"/>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Securitized debt obligations</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165</w:t>
            </w:r>
          </w:p>
        </w:tc>
        <w:tc>
          <w:tcPr>
            <w:tcW w:w="8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5.11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13,043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6"/>
                <w:szCs w:val="16"/>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Senior and subordinated notes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582</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6.41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32,872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6.51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94"/>
        </w:trPr>
        <w:tc>
          <w:tcPr>
            <w:tcW w:w="3880" w:type="dxa"/>
            <w:vAlign w:val="bottom"/>
            <w:tcBorders>
              <w:bottom w:val="single" w:sz="8" w:color="CCEEFF"/>
            </w:tcBorders>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Other borrowings and liabilities</w:t>
            </w:r>
            <w:r>
              <w:rPr>
                <w:rFonts w:ascii="Times New Roman" w:cs="Times New Roman" w:eastAsia="Times New Roman" w:hAnsi="Times New Roman"/>
                <w:sz w:val="17"/>
                <w:szCs w:val="17"/>
                <w:color w:val="auto"/>
                <w:vertAlign w:val="superscript"/>
              </w:rPr>
              <w:t>(2)</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3,120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2,872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1.85</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7"/>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491,838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4,359</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3.55</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435,926</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3.52</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374,772</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18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income/spread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12,404</w:t>
            </w:r>
          </w:p>
        </w:tc>
        <w:tc>
          <w:tcPr>
            <w:tcW w:w="8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7.75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9,995</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7.02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80" w:type="dxa"/>
            <w:vAlign w:val="bottom"/>
          </w:tcPr>
          <w:p>
            <w:pPr>
              <w:spacing w:after="0"/>
              <w:rPr>
                <w:sz w:val="16"/>
                <w:szCs w:val="16"/>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8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Impact of non-interest-bearing funding</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0.61</w:t>
            </w: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0.60</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Times New Roman" w:cs="Times New Roman" w:eastAsia="Times New Roman" w:hAnsi="Times New Roman"/>
                <w:sz w:val="14"/>
                <w:szCs w:val="14"/>
                <w:color w:val="auto"/>
              </w:rPr>
              <w:t>0.71</w:t>
            </w:r>
          </w:p>
        </w:tc>
        <w:tc>
          <w:tcPr>
            <w:tcW w:w="0" w:type="dxa"/>
            <w:vAlign w:val="bottom"/>
          </w:tcPr>
          <w:p>
            <w:pPr>
              <w:spacing w:after="0"/>
              <w:rPr>
                <w:sz w:val="1"/>
                <w:szCs w:val="1"/>
                <w:color w:val="auto"/>
              </w:rPr>
            </w:pPr>
          </w:p>
        </w:tc>
      </w:tr>
      <w:tr>
        <w:trPr>
          <w:trHeight w:val="19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8.36%</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gridSpan w:val="16"/>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1"/>
                <w:szCs w:val="11"/>
                <w:color w:val="auto"/>
              </w:rPr>
            </w:pPr>
          </w:p>
        </w:tc>
        <w:tc>
          <w:tcPr>
            <w:tcW w:w="740" w:type="dxa"/>
            <w:vAlign w:val="bottom"/>
            <w:gridSpan w:val="5"/>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Income/</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Yield/Rate</w:t>
            </w:r>
            <w:r>
              <w:rPr>
                <w:rFonts w:ascii="Times New Roman" w:cs="Times New Roman" w:eastAsia="Times New Roman" w:hAnsi="Times New Roman"/>
                <w:sz w:val="17"/>
                <w:szCs w:val="17"/>
                <w:b w:val="1"/>
                <w:bCs w:val="1"/>
                <w:color w:val="auto"/>
                <w:w w:val="96"/>
                <w:vertAlign w:val="superscript"/>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Yield/Rate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94"/>
        </w:trPr>
        <w:tc>
          <w:tcPr>
            <w:tcW w:w="3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6"/>
                <w:szCs w:val="16"/>
                <w:color w:val="auto"/>
              </w:rPr>
            </w:pP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Loans, including loans held for sale</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380,992</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37,835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13.24%</w:t>
            </w:r>
          </w:p>
        </w:tc>
        <w:tc>
          <w:tcPr>
            <w:tcW w:w="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316,707</w:t>
            </w:r>
          </w:p>
        </w:tc>
        <w:tc>
          <w:tcPr>
            <w:tcW w:w="40" w:type="dxa"/>
            <w:vAlign w:val="bottom"/>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93,970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3.37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89,580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Cash equivalents and other</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52,499</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1,797</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4.56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44,791</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9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527,461</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42,009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10.62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451,078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34,317</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6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388,541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9,432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3.24</w:t>
            </w:r>
          </w:p>
        </w:tc>
        <w:tc>
          <w:tcPr>
            <w:tcW w:w="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321,856</w:t>
            </w:r>
          </w:p>
        </w:tc>
        <w:tc>
          <w:tcPr>
            <w:tcW w:w="4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89"/>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Securitized debt obligations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13,228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Pr>
          <w:p>
            <w:pPr>
              <w:spacing w:after="0"/>
              <w:rPr>
                <w:sz w:val="16"/>
                <w:szCs w:val="16"/>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Senior and subordinated notes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6.52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94"/>
        </w:trPr>
        <w:tc>
          <w:tcPr>
            <w:tcW w:w="3880" w:type="dxa"/>
            <w:vAlign w:val="bottom"/>
            <w:tcBorders>
              <w:bottom w:val="single" w:sz="8" w:color="CCEEFF"/>
            </w:tcBorders>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Other borrowings and liabilities</w:t>
            </w:r>
            <w:r>
              <w:rPr>
                <w:rFonts w:ascii="Times New Roman" w:cs="Times New Roman" w:eastAsia="Times New Roman" w:hAnsi="Times New Roman"/>
                <w:sz w:val="17"/>
                <w:szCs w:val="17"/>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2,771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1.84</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7"/>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437,720</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11,597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3.53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373,058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11,207</w:t>
            </w:r>
          </w:p>
        </w:tc>
        <w:tc>
          <w:tcPr>
            <w:tcW w:w="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8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income/spread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30,412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7.09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80" w:type="dxa"/>
            <w:vAlign w:val="bottom"/>
          </w:tcPr>
          <w:p>
            <w:pPr>
              <w:spacing w:after="0"/>
              <w:rPr>
                <w:sz w:val="16"/>
                <w:szCs w:val="16"/>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non-interest-bearing funding</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0.60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182"/>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8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7: Loan Information and Performance Statistics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2025 Q3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242424"/>
              </w:rPr>
              <w:t>Nine Months Ended September 30,</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242424"/>
              </w:rPr>
              <w:t>2025 vs.</w:t>
            </w:r>
          </w:p>
        </w:tc>
        <w:tc>
          <w:tcPr>
            <w:tcW w:w="0" w:type="dxa"/>
            <w:vAlign w:val="bottom"/>
          </w:tcPr>
          <w:p>
            <w:pPr>
              <w:spacing w:after="0"/>
              <w:rPr>
                <w:sz w:val="1"/>
                <w:szCs w:val="1"/>
                <w:color w:val="auto"/>
              </w:rPr>
            </w:pPr>
          </w:p>
        </w:tc>
      </w:tr>
      <w:tr>
        <w:trPr>
          <w:trHeight w:val="19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14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Q3</w:t>
            </w:r>
          </w:p>
        </w:tc>
        <w:tc>
          <w:tcPr>
            <w:tcW w:w="14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Q4</w:t>
            </w:r>
          </w:p>
        </w:tc>
        <w:tc>
          <w:tcPr>
            <w:tcW w:w="140" w:type="dxa"/>
            <w:vAlign w:val="bottom"/>
          </w:tcPr>
          <w:p>
            <w:pPr>
              <w:spacing w:after="0"/>
              <w:rPr>
                <w:sz w:val="16"/>
                <w:szCs w:val="16"/>
                <w:color w:val="auto"/>
              </w:rPr>
            </w:pPr>
          </w:p>
        </w:tc>
        <w:tc>
          <w:tcPr>
            <w:tcW w:w="56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6"/>
                <w:szCs w:val="16"/>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Q2</w:t>
            </w: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Q3</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242424"/>
              </w:rPr>
              <w:t>2025</w:t>
            </w:r>
          </w:p>
        </w:tc>
        <w:tc>
          <w:tcPr>
            <w:tcW w:w="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8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0" w:type="dxa"/>
            <w:vAlign w:val="bottom"/>
          </w:tcPr>
          <w:p>
            <w:pPr>
              <w:spacing w:after="0"/>
              <w:rPr>
                <w:sz w:val="1"/>
                <w:szCs w:val="1"/>
                <w:color w:val="auto"/>
              </w:rPr>
            </w:pPr>
          </w:p>
        </w:tc>
      </w:tr>
      <w:tr>
        <w:trPr>
          <w:trHeight w:val="192"/>
        </w:trPr>
        <w:tc>
          <w:tcPr>
            <w:tcW w:w="3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Loans Held for Investment (Period-End)</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Domestic credit card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253,951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$ 253,951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w w:val="99"/>
              </w:rPr>
              <w:t>$ 149,400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70%</w:t>
            </w:r>
          </w:p>
        </w:tc>
        <w:tc>
          <w:tcPr>
            <w:tcW w:w="0" w:type="dxa"/>
            <w:vAlign w:val="bottom"/>
          </w:tcPr>
          <w:p>
            <w:pPr>
              <w:spacing w:after="0"/>
              <w:rPr>
                <w:sz w:val="1"/>
                <w:szCs w:val="1"/>
                <w:color w:val="auto"/>
              </w:rPr>
            </w:pPr>
          </w:p>
        </w:tc>
      </w:tr>
      <w:tr>
        <w:trPr>
          <w:trHeight w:val="189"/>
        </w:trPr>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Personal loans</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9,646</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International card businesses</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7,440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w:t>
            </w: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7,440</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7,251</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42424"/>
              </w:rPr>
              <w:t>3</w:t>
            </w:r>
          </w:p>
        </w:tc>
        <w:tc>
          <w:tcPr>
            <w:tcW w:w="0" w:type="dxa"/>
            <w:vAlign w:val="bottom"/>
          </w:tcPr>
          <w:p>
            <w:pPr>
              <w:spacing w:after="0"/>
              <w:rPr>
                <w:sz w:val="1"/>
                <w:szCs w:val="1"/>
                <w:color w:val="auto"/>
              </w:rPr>
            </w:pPr>
          </w:p>
        </w:tc>
      </w:tr>
      <w:tr>
        <w:trPr>
          <w:trHeight w:val="182"/>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credit card</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271,037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269,709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157,189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162,508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156,651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271,037</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156,651</w:t>
            </w:r>
          </w:p>
        </w:tc>
        <w:tc>
          <w:tcPr>
            <w:tcW w:w="800" w:type="dxa"/>
            <w:vAlign w:val="bottom"/>
            <w:tcBorders>
              <w:bottom w:val="single" w:sz="8" w:color="CCEEFF"/>
            </w:tcBorders>
            <w:gridSpan w:val="2"/>
          </w:tcPr>
          <w:p>
            <w:pPr>
              <w:jc w:val="right"/>
              <w:ind w:right="111"/>
              <w:spacing w:after="0"/>
              <w:rPr>
                <w:sz w:val="20"/>
                <w:szCs w:val="20"/>
                <w:color w:val="auto"/>
              </w:rPr>
            </w:pPr>
            <w:r>
              <w:rPr>
                <w:rFonts w:ascii="Times New Roman" w:cs="Times New Roman" w:eastAsia="Times New Roman" w:hAnsi="Times New Roman"/>
                <w:sz w:val="14"/>
                <w:szCs w:val="14"/>
                <w:color w:val="242424"/>
              </w:rPr>
              <w:t>73</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banking:</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Auto</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82,035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75,505</w:t>
            </w:r>
          </w:p>
        </w:tc>
        <w:tc>
          <w:tcPr>
            <w:tcW w:w="8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42424"/>
              </w:rPr>
              <w:t>82,035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75,505</w:t>
            </w:r>
          </w:p>
        </w:tc>
        <w:tc>
          <w:tcPr>
            <w:tcW w:w="8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242424"/>
              </w:rPr>
              <w:t>9</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Retail banking</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86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1,195</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1,253</w:t>
            </w:r>
          </w:p>
        </w:tc>
        <w:tc>
          <w:tcPr>
            <w:tcW w:w="8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42424"/>
              </w:rPr>
              <w:t>(5)</w:t>
            </w:r>
          </w:p>
        </w:tc>
        <w:tc>
          <w:tcPr>
            <w:tcW w:w="0" w:type="dxa"/>
            <w:vAlign w:val="bottom"/>
          </w:tcPr>
          <w:p>
            <w:pPr>
              <w:spacing w:after="0"/>
              <w:rPr>
                <w:sz w:val="1"/>
                <w:szCs w:val="1"/>
                <w:color w:val="auto"/>
              </w:rPr>
            </w:pPr>
          </w:p>
        </w:tc>
      </w:tr>
      <w:tr>
        <w:trPr>
          <w:trHeight w:val="182"/>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 banking</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83,230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81,233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78,896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78,092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76,758</w:t>
            </w:r>
          </w:p>
        </w:tc>
        <w:tc>
          <w:tcPr>
            <w:tcW w:w="860" w:type="dxa"/>
            <w:vAlign w:val="bottom"/>
            <w:tcBorders>
              <w:bottom w:val="single" w:sz="8" w:color="CCEEFF"/>
            </w:tcBorders>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83,230</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76,758</w:t>
            </w:r>
          </w:p>
        </w:tc>
        <w:tc>
          <w:tcPr>
            <w:tcW w:w="800" w:type="dxa"/>
            <w:vAlign w:val="bottom"/>
            <w:tcBorders>
              <w:bottom w:val="single" w:sz="8" w:color="CCEEFF"/>
            </w:tcBorders>
            <w:gridSpan w:val="2"/>
          </w:tcPr>
          <w:p>
            <w:pPr>
              <w:jc w:val="right"/>
              <w:ind w:right="111"/>
              <w:spacing w:after="0"/>
              <w:rPr>
                <w:sz w:val="20"/>
                <w:szCs w:val="20"/>
                <w:color w:val="auto"/>
              </w:rPr>
            </w:pPr>
            <w:r>
              <w:rPr>
                <w:rFonts w:ascii="Times New Roman" w:cs="Times New Roman" w:eastAsia="Times New Roman" w:hAnsi="Times New Roman"/>
                <w:sz w:val="14"/>
                <w:szCs w:val="14"/>
                <w:color w:val="242424"/>
              </w:rPr>
              <w:t>8</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banking:</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Commercial and multifamily real estate</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33,461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32,199</w:t>
            </w:r>
          </w:p>
        </w:tc>
        <w:tc>
          <w:tcPr>
            <w:tcW w:w="8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42424"/>
              </w:rPr>
              <w:t>33,461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32,199</w:t>
            </w:r>
          </w:p>
        </w:tc>
        <w:tc>
          <w:tcPr>
            <w:tcW w:w="8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242424"/>
              </w:rPr>
              <w:t>4</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55,431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55,542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54,635</w:t>
            </w: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55,431</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54,635</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42424"/>
              </w:rPr>
              <w:t>1</w:t>
            </w:r>
          </w:p>
        </w:tc>
        <w:tc>
          <w:tcPr>
            <w:tcW w:w="0" w:type="dxa"/>
            <w:vAlign w:val="bottom"/>
          </w:tcPr>
          <w:p>
            <w:pPr>
              <w:spacing w:after="0"/>
              <w:rPr>
                <w:sz w:val="1"/>
                <w:szCs w:val="1"/>
                <w:color w:val="auto"/>
              </w:rPr>
            </w:pPr>
          </w:p>
        </w:tc>
      </w:tr>
      <w:tr>
        <w:trPr>
          <w:trHeight w:val="182"/>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 banking</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88,892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88,355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87,513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87,175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86,834</w:t>
            </w:r>
          </w:p>
        </w:tc>
        <w:tc>
          <w:tcPr>
            <w:tcW w:w="860" w:type="dxa"/>
            <w:vAlign w:val="bottom"/>
            <w:tcBorders>
              <w:bottom w:val="single" w:sz="8" w:color="CCEEFF"/>
            </w:tcBorders>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88,892</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86,834</w:t>
            </w:r>
          </w:p>
        </w:tc>
        <w:tc>
          <w:tcPr>
            <w:tcW w:w="800" w:type="dxa"/>
            <w:vAlign w:val="bottom"/>
            <w:tcBorders>
              <w:bottom w:val="single" w:sz="8" w:color="CCEEFF"/>
            </w:tcBorders>
            <w:gridSpan w:val="2"/>
          </w:tcPr>
          <w:p>
            <w:pPr>
              <w:jc w:val="right"/>
              <w:ind w:right="111"/>
              <w:spacing w:after="0"/>
              <w:rPr>
                <w:sz w:val="20"/>
                <w:szCs w:val="20"/>
                <w:color w:val="auto"/>
              </w:rPr>
            </w:pPr>
            <w:r>
              <w:rPr>
                <w:rFonts w:ascii="Times New Roman" w:cs="Times New Roman" w:eastAsia="Times New Roman" w:hAnsi="Times New Roman"/>
                <w:sz w:val="14"/>
                <w:szCs w:val="14"/>
                <w:color w:val="242424"/>
              </w:rPr>
              <w:t>2</w:t>
            </w:r>
          </w:p>
        </w:tc>
        <w:tc>
          <w:tcPr>
            <w:tcW w:w="0" w:type="dxa"/>
            <w:vAlign w:val="bottom"/>
          </w:tcPr>
          <w:p>
            <w:pPr>
              <w:spacing w:after="0"/>
              <w:rPr>
                <w:sz w:val="1"/>
                <w:szCs w:val="1"/>
                <w:color w:val="auto"/>
              </w:rPr>
            </w:pPr>
          </w:p>
        </w:tc>
      </w:tr>
      <w:tr>
        <w:trPr>
          <w:trHeight w:val="258"/>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443,159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323,598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327,775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320,243</w:t>
            </w:r>
          </w:p>
        </w:tc>
        <w:tc>
          <w:tcPr>
            <w:tcW w:w="86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$ 443,159</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w w:val="99"/>
              </w:rPr>
              <w:t>$ 320,243</w:t>
            </w:r>
          </w:p>
        </w:tc>
        <w:tc>
          <w:tcPr>
            <w:tcW w:w="80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42424"/>
              </w:rPr>
              <w:t>38</w:t>
            </w:r>
          </w:p>
        </w:tc>
        <w:tc>
          <w:tcPr>
            <w:tcW w:w="0" w:type="dxa"/>
            <w:vAlign w:val="bottom"/>
          </w:tcPr>
          <w:p>
            <w:pPr>
              <w:spacing w:after="0"/>
              <w:rPr>
                <w:sz w:val="1"/>
                <w:szCs w:val="1"/>
                <w:color w:val="auto"/>
              </w:rPr>
            </w:pPr>
          </w:p>
        </w:tc>
      </w:tr>
      <w:tr>
        <w:trPr>
          <w:trHeight w:val="148"/>
        </w:trPr>
        <w:tc>
          <w:tcPr>
            <w:tcW w:w="3340" w:type="dxa"/>
            <w:vAlign w:val="bottom"/>
            <w:tcBorders>
              <w:top w:val="single" w:sz="8" w:color="auto"/>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Loans Held for Investment (Average)</w:t>
            </w:r>
          </w:p>
        </w:tc>
        <w:tc>
          <w:tcPr>
            <w:tcW w:w="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8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5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72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Domestic credit card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252,090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197,808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149,639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150,290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42424"/>
              </w:rPr>
              <w:t>$ 200,221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242424"/>
                <w:w w:val="99"/>
              </w:rPr>
              <w:t>$ 144,560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42424"/>
              </w:rPr>
              <w:t>39%</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Personal loans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International card businesses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7,382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6,951</w:t>
            </w:r>
          </w:p>
        </w:tc>
        <w:tc>
          <w:tcPr>
            <w:tcW w:w="860" w:type="dxa"/>
            <w:vAlign w:val="bottom"/>
            <w:tcBorders>
              <w:bottom w:val="single" w:sz="8" w:color="CCEEFF"/>
            </w:tcBorders>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ind w:right="9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7,088</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6,811</w:t>
            </w:r>
          </w:p>
        </w:tc>
        <w:tc>
          <w:tcPr>
            <w:tcW w:w="800" w:type="dxa"/>
            <w:vAlign w:val="bottom"/>
            <w:tcBorders>
              <w:bottom w:val="single" w:sz="8" w:color="CCEEFF"/>
            </w:tcBorders>
            <w:gridSpan w:val="2"/>
          </w:tcPr>
          <w:p>
            <w:pPr>
              <w:jc w:val="right"/>
              <w:ind w:right="111"/>
              <w:spacing w:after="0"/>
              <w:rPr>
                <w:sz w:val="20"/>
                <w:szCs w:val="20"/>
                <w:color w:val="auto"/>
              </w:rPr>
            </w:pPr>
            <w:r>
              <w:rPr>
                <w:rFonts w:ascii="Times New Roman" w:cs="Times New Roman" w:eastAsia="Times New Roman" w:hAnsi="Times New Roman"/>
                <w:sz w:val="14"/>
                <w:szCs w:val="14"/>
                <w:color w:val="242424"/>
              </w:rPr>
              <w:t>4</w:t>
            </w:r>
          </w:p>
        </w:tc>
        <w:tc>
          <w:tcPr>
            <w:tcW w:w="0" w:type="dxa"/>
            <w:vAlign w:val="bottom"/>
          </w:tcPr>
          <w:p>
            <w:pPr>
              <w:spacing w:after="0"/>
              <w:rPr>
                <w:sz w:val="1"/>
                <w:szCs w:val="1"/>
                <w:color w:val="auto"/>
              </w:rPr>
            </w:pPr>
          </w:p>
        </w:tc>
      </w:tr>
      <w:tr>
        <w:trPr>
          <w:trHeight w:val="19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credit card</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269,175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209,693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156,407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157,326</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153,972</w:t>
            </w:r>
          </w:p>
        </w:tc>
        <w:tc>
          <w:tcPr>
            <w:tcW w:w="8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212,172</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151,371</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42424"/>
              </w:rPr>
              <w:t>40</w:t>
            </w:r>
          </w:p>
        </w:tc>
        <w:tc>
          <w:tcPr>
            <w:tcW w:w="0" w:type="dxa"/>
            <w:vAlign w:val="bottom"/>
          </w:tcPr>
          <w:p>
            <w:pPr>
              <w:spacing w:after="0"/>
              <w:rPr>
                <w:sz w:val="1"/>
                <w:szCs w:val="1"/>
                <w:color w:val="auto"/>
              </w:rPr>
            </w:pPr>
          </w:p>
        </w:tc>
      </w:tr>
      <w:tr>
        <w:trPr>
          <w:trHeight w:val="16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banking:</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Auto</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81,094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74,920</w:t>
            </w:r>
          </w:p>
        </w:tc>
        <w:tc>
          <w:tcPr>
            <w:tcW w:w="8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79,080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74,264</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42424"/>
              </w:rPr>
              <w:t>6</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Retail banking</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60" w:type="dxa"/>
            <w:vAlign w:val="bottom"/>
            <w:tcBorders>
              <w:bottom w:val="single" w:sz="8" w:color="CCEEFF"/>
            </w:tcBorders>
            <w:gridSpan w:val="2"/>
          </w:tcPr>
          <w:p>
            <w:pPr>
              <w:jc w:val="center"/>
              <w:ind w:left="351"/>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ind w:right="7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1,224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1,291</w:t>
            </w:r>
          </w:p>
        </w:tc>
        <w:tc>
          <w:tcPr>
            <w:tcW w:w="800" w:type="dxa"/>
            <w:vAlign w:val="bottom"/>
            <w:tcBorders>
              <w:bottom w:val="single" w:sz="8" w:color="CCEEFF"/>
            </w:tcBorders>
            <w:gridSpan w:val="2"/>
          </w:tcPr>
          <w:p>
            <w:pPr>
              <w:jc w:val="right"/>
              <w:ind w:right="71"/>
              <w:spacing w:after="0"/>
              <w:rPr>
                <w:sz w:val="20"/>
                <w:szCs w:val="20"/>
                <w:color w:val="auto"/>
              </w:rPr>
            </w:pPr>
            <w:r>
              <w:rPr>
                <w:rFonts w:ascii="Times New Roman" w:cs="Times New Roman" w:eastAsia="Times New Roman" w:hAnsi="Times New Roman"/>
                <w:sz w:val="14"/>
                <w:szCs w:val="14"/>
                <w:color w:val="242424"/>
              </w:rPr>
              <w:t>(5)</w:t>
            </w:r>
          </w:p>
        </w:tc>
        <w:tc>
          <w:tcPr>
            <w:tcW w:w="0" w:type="dxa"/>
            <w:vAlign w:val="bottom"/>
          </w:tcPr>
          <w:p>
            <w:pPr>
              <w:spacing w:after="0"/>
              <w:rPr>
                <w:sz w:val="1"/>
                <w:szCs w:val="1"/>
                <w:color w:val="auto"/>
              </w:rPr>
            </w:pPr>
          </w:p>
        </w:tc>
      </w:tr>
      <w:tr>
        <w:trPr>
          <w:trHeight w:val="19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 banking</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82,295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80,095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77,221</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76,182</w:t>
            </w:r>
          </w:p>
        </w:tc>
        <w:tc>
          <w:tcPr>
            <w:tcW w:w="8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80,304</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75,555</w:t>
            </w:r>
          </w:p>
        </w:tc>
        <w:tc>
          <w:tcPr>
            <w:tcW w:w="8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42424"/>
              </w:rPr>
              <w:t>6</w:t>
            </w:r>
          </w:p>
        </w:tc>
        <w:tc>
          <w:tcPr>
            <w:tcW w:w="0" w:type="dxa"/>
            <w:vAlign w:val="bottom"/>
          </w:tcPr>
          <w:p>
            <w:pPr>
              <w:spacing w:after="0"/>
              <w:rPr>
                <w:sz w:val="1"/>
                <w:szCs w:val="1"/>
                <w:color w:val="auto"/>
              </w:rPr>
            </w:pPr>
          </w:p>
        </w:tc>
      </w:tr>
      <w:tr>
        <w:trPr>
          <w:trHeight w:val="16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banking:</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multifamily real estate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32,416</w:t>
            </w:r>
          </w:p>
        </w:tc>
        <w:tc>
          <w:tcPr>
            <w:tcW w:w="8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32,458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33,505</w:t>
            </w:r>
          </w:p>
        </w:tc>
        <w:tc>
          <w:tcPr>
            <w:tcW w:w="8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42424"/>
              </w:rPr>
              <w:t>(3)</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55,285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55,847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55,266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55,685</w:t>
            </w:r>
          </w:p>
        </w:tc>
        <w:tc>
          <w:tcPr>
            <w:tcW w:w="860" w:type="dxa"/>
            <w:vAlign w:val="bottom"/>
            <w:tcBorders>
              <w:bottom w:val="single" w:sz="8" w:color="CCEEFF"/>
            </w:tcBorders>
            <w:gridSpan w:val="2"/>
          </w:tcPr>
          <w:p>
            <w:pPr>
              <w:jc w:val="center"/>
              <w:ind w:left="351"/>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ind w:right="7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55,630</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rPr>
              <w:t>55,496</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9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banking</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88,389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88,369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87,324</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88,101</w:t>
            </w:r>
          </w:p>
        </w:tc>
        <w:tc>
          <w:tcPr>
            <w:tcW w:w="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42424"/>
              </w:rPr>
              <w:t>88,088</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89,001</w:t>
            </w:r>
          </w:p>
        </w:tc>
        <w:tc>
          <w:tcPr>
            <w:tcW w:w="8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42424"/>
              </w:rPr>
              <w:t>(1)</w:t>
            </w:r>
          </w:p>
        </w:tc>
        <w:tc>
          <w:tcPr>
            <w:tcW w:w="0" w:type="dxa"/>
            <w:vAlign w:val="bottom"/>
          </w:tcPr>
          <w:p>
            <w:pPr>
              <w:spacing w:after="0"/>
              <w:rPr>
                <w:sz w:val="1"/>
                <w:szCs w:val="1"/>
                <w:color w:val="auto"/>
              </w:rPr>
            </w:pPr>
          </w:p>
        </w:tc>
      </w:tr>
      <w:tr>
        <w:trPr>
          <w:trHeight w:val="18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average loans held for investment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439,859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378,157</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322,385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321,871</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318,255</w:t>
            </w:r>
          </w:p>
        </w:tc>
        <w:tc>
          <w:tcPr>
            <w:tcW w:w="8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$ 380,564</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42424"/>
                <w:w w:val="99"/>
              </w:rPr>
              <w:t>$ 315,927</w:t>
            </w:r>
          </w:p>
        </w:tc>
        <w:tc>
          <w:tcPr>
            <w:tcW w:w="8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242424"/>
              </w:rPr>
              <w:t>20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2025 Q3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242424"/>
              </w:rPr>
              <w:t>Nine Months Ended September 30,</w:t>
            </w:r>
          </w:p>
        </w:tc>
        <w:tc>
          <w:tcPr>
            <w:tcW w:w="0" w:type="dxa"/>
            <w:vAlign w:val="bottom"/>
          </w:tcPr>
          <w:p>
            <w:pPr>
              <w:spacing w:after="0"/>
              <w:rPr>
                <w:sz w:val="1"/>
                <w:szCs w:val="1"/>
                <w:color w:val="auto"/>
              </w:rPr>
            </w:pPr>
          </w:p>
        </w:tc>
      </w:tr>
      <w:tr>
        <w:trPr>
          <w:trHeight w:val="23"/>
        </w:trPr>
        <w:tc>
          <w:tcPr>
            <w:tcW w:w="2980" w:type="dxa"/>
            <w:vAlign w:val="bottom"/>
          </w:tcPr>
          <w:p>
            <w:pPr>
              <w:spacing w:after="0" w:line="20" w:lineRule="exact"/>
              <w:rPr>
                <w:sz w:val="1"/>
                <w:szCs w:val="1"/>
                <w:color w:val="auto"/>
              </w:rPr>
            </w:pPr>
          </w:p>
        </w:tc>
        <w:tc>
          <w:tcPr>
            <w:tcW w:w="8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7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242424"/>
              </w:rPr>
              <w:t>2025 vs.</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Q3</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Q2</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9"/>
              </w:rPr>
              <w:t>Q1</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Q4</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2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6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Q3</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242424"/>
              </w:rPr>
              <w:t>2025</w:t>
            </w:r>
          </w:p>
        </w:tc>
        <w:tc>
          <w:tcPr>
            <w:tcW w:w="80" w:type="dxa"/>
            <w:vAlign w:val="bottom"/>
          </w:tcPr>
          <w:p>
            <w:pPr>
              <w:spacing w:after="0"/>
              <w:rPr>
                <w:sz w:val="2"/>
                <w:szCs w:val="2"/>
                <w:color w:val="auto"/>
              </w:rPr>
            </w:pPr>
          </w:p>
        </w:tc>
        <w:tc>
          <w:tcPr>
            <w:tcW w:w="6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0" w:type="dxa"/>
            <w:vAlign w:val="bottom"/>
          </w:tcPr>
          <w:p>
            <w:pPr>
              <w:spacing w:after="0"/>
              <w:rPr>
                <w:sz w:val="1"/>
                <w:szCs w:val="1"/>
                <w:color w:val="auto"/>
              </w:rPr>
            </w:pPr>
          </w:p>
        </w:tc>
      </w:tr>
      <w:tr>
        <w:trPr>
          <w:trHeight w:val="187"/>
        </w:trPr>
        <w:tc>
          <w:tcPr>
            <w:tcW w:w="29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Charge-Off (Recovery) Rates</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Credit card</w:t>
            </w:r>
            <w:r>
              <w:rPr>
                <w:rFonts w:ascii="Times New Roman" w:cs="Times New Roman" w:eastAsia="Times New Roman" w:hAnsi="Times New Roman"/>
                <w:sz w:val="17"/>
                <w:szCs w:val="17"/>
                <w:b w:val="1"/>
                <w:bCs w:val="1"/>
                <w:color w:val="auto"/>
                <w:vertAlign w:val="superscript"/>
              </w:rPr>
              <w:t>(3)</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40"/>
              <w:spacing w:after="0" w:line="194" w:lineRule="exact"/>
              <w:rPr>
                <w:sz w:val="20"/>
                <w:szCs w:val="20"/>
                <w:color w:val="auto"/>
              </w:rPr>
            </w:pPr>
            <w:r>
              <w:rPr>
                <w:rFonts w:ascii="Times New Roman" w:cs="Times New Roman" w:eastAsia="Times New Roman" w:hAnsi="Times New Roman"/>
                <w:sz w:val="14"/>
                <w:szCs w:val="14"/>
                <w:color w:val="auto"/>
              </w:rPr>
              <w:t>Domestic credit card</w:t>
            </w:r>
            <w:r>
              <w:rPr>
                <w:rFonts w:ascii="Times New Roman" w:cs="Times New Roman" w:eastAsia="Times New Roman" w:hAnsi="Times New Roman"/>
                <w:sz w:val="17"/>
                <w:szCs w:val="17"/>
                <w:color w:val="auto"/>
                <w:vertAlign w:val="superscript"/>
              </w:rPr>
              <w:t>(4)</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4.63 %</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(62)bps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(98)bps</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5.21 %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42424"/>
              </w:rPr>
              <w:t>5.86%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(65)bps</w:t>
            </w:r>
          </w:p>
        </w:tc>
        <w:tc>
          <w:tcPr>
            <w:tcW w:w="0" w:type="dxa"/>
            <w:vAlign w:val="bottom"/>
          </w:tcPr>
          <w:p>
            <w:pPr>
              <w:spacing w:after="0"/>
              <w:rPr>
                <w:sz w:val="1"/>
                <w:szCs w:val="1"/>
                <w:color w:val="auto"/>
              </w:rPr>
            </w:pPr>
          </w:p>
        </w:tc>
      </w:tr>
      <w:tr>
        <w:trPr>
          <w:trHeight w:val="189"/>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Personal loans</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3.81</w:t>
            </w:r>
          </w:p>
        </w:tc>
        <w:tc>
          <w:tcPr>
            <w:tcW w:w="80" w:type="dxa"/>
            <w:vAlign w:val="bottom"/>
          </w:tcPr>
          <w:p>
            <w:pPr>
              <w:spacing w:after="0"/>
              <w:rPr>
                <w:sz w:val="16"/>
                <w:szCs w:val="16"/>
                <w:color w:val="auto"/>
              </w:rPr>
            </w:pP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3.47</w:t>
            </w: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3.67</w:t>
            </w:r>
          </w:p>
        </w:tc>
        <w:tc>
          <w:tcPr>
            <w:tcW w:w="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International card businesses</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5.07</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5.17</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(16)</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5.09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5.14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(5)</w:t>
            </w:r>
          </w:p>
        </w:tc>
        <w:tc>
          <w:tcPr>
            <w:tcW w:w="0" w:type="dxa"/>
            <w:vAlign w:val="bottom"/>
          </w:tcPr>
          <w:p>
            <w:pPr>
              <w:spacing w:after="0"/>
              <w:rPr>
                <w:sz w:val="1"/>
                <w:szCs w:val="1"/>
                <w:color w:val="auto"/>
              </w:rPr>
            </w:pPr>
          </w:p>
        </w:tc>
      </w:tr>
      <w:tr>
        <w:trPr>
          <w:trHeight w:val="189"/>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credit card</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4.61</w:t>
            </w:r>
          </w:p>
        </w:tc>
        <w:tc>
          <w:tcPr>
            <w:tcW w:w="80" w:type="dxa"/>
            <w:vAlign w:val="bottom"/>
          </w:tcPr>
          <w:p>
            <w:pPr>
              <w:spacing w:after="0"/>
              <w:rPr>
                <w:sz w:val="16"/>
                <w:szCs w:val="16"/>
                <w:color w:val="auto"/>
              </w:rPr>
            </w:pP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5.20</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6"/>
                <w:szCs w:val="16"/>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(99)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5.17</w:t>
            </w:r>
          </w:p>
        </w:tc>
        <w:tc>
          <w:tcPr>
            <w:tcW w:w="8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5.83</w:t>
            </w: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242424"/>
              </w:rPr>
              <w:t>(66)</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banking:</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Auto</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1.54</w:t>
            </w:r>
          </w:p>
        </w:tc>
        <w:tc>
          <w:tcPr>
            <w:tcW w:w="80" w:type="dxa"/>
            <w:vAlign w:val="bottom"/>
          </w:tcPr>
          <w:p>
            <w:pPr>
              <w:spacing w:after="0"/>
              <w:rPr>
                <w:sz w:val="16"/>
                <w:szCs w:val="16"/>
                <w:color w:val="auto"/>
              </w:rPr>
            </w:pP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1.25</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(51)</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1.44</w:t>
            </w:r>
          </w:p>
        </w:tc>
        <w:tc>
          <w:tcPr>
            <w:tcW w:w="8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1.95</w:t>
            </w: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242424"/>
              </w:rPr>
              <w:t>(51)</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Retail banking</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4.41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4.54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(102)</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4.57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4.94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(37)</w:t>
            </w:r>
          </w:p>
        </w:tc>
        <w:tc>
          <w:tcPr>
            <w:tcW w:w="0" w:type="dxa"/>
            <w:vAlign w:val="bottom"/>
          </w:tcPr>
          <w:p>
            <w:pPr>
              <w:spacing w:after="0"/>
              <w:rPr>
                <w:sz w:val="1"/>
                <w:szCs w:val="1"/>
                <w:color w:val="auto"/>
              </w:rPr>
            </w:pPr>
          </w:p>
        </w:tc>
      </w:tr>
      <w:tr>
        <w:trPr>
          <w:trHeight w:val="189"/>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consumer banking</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1.58</w:t>
            </w:r>
          </w:p>
        </w:tc>
        <w:tc>
          <w:tcPr>
            <w:tcW w:w="80" w:type="dxa"/>
            <w:vAlign w:val="bottom"/>
          </w:tcPr>
          <w:p>
            <w:pPr>
              <w:spacing w:after="0"/>
              <w:rPr>
                <w:sz w:val="16"/>
                <w:szCs w:val="16"/>
                <w:color w:val="auto"/>
              </w:rPr>
            </w:pP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1.30</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(53)</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1.49</w:t>
            </w:r>
          </w:p>
        </w:tc>
        <w:tc>
          <w:tcPr>
            <w:tcW w:w="8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2.00</w:t>
            </w: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242424"/>
              </w:rPr>
              <w:t>(51)</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banking:</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and multifamily real estate</w:t>
            </w:r>
          </w:p>
        </w:tc>
        <w:tc>
          <w:tcPr>
            <w:tcW w:w="8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(0.09)</w:t>
            </w:r>
          </w:p>
        </w:tc>
        <w:tc>
          <w:tcPr>
            <w:tcW w:w="80" w:type="dxa"/>
            <w:vAlign w:val="bottom"/>
          </w:tcPr>
          <w:p>
            <w:pPr>
              <w:spacing w:after="0"/>
              <w:rPr>
                <w:sz w:val="16"/>
                <w:szCs w:val="16"/>
                <w:color w:val="auto"/>
              </w:rPr>
            </w:pP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4"/>
              </w:rPr>
              <w:t>(0.06)</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6"/>
                <w:szCs w:val="16"/>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0.50</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(35)</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242424"/>
              </w:rPr>
              <w:t>(0.02)</w:t>
            </w:r>
          </w:p>
        </w:tc>
        <w:tc>
          <w:tcPr>
            <w:tcW w:w="8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0.19</w:t>
            </w: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242424"/>
              </w:rPr>
              <w:t>(21)</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0.38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0.55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18</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0.35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0.15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242424"/>
              </w:rPr>
              <w:t>20</w:t>
            </w:r>
          </w:p>
        </w:tc>
        <w:tc>
          <w:tcPr>
            <w:tcW w:w="0" w:type="dxa"/>
            <w:vAlign w:val="bottom"/>
          </w:tcPr>
          <w:p>
            <w:pPr>
              <w:spacing w:after="0"/>
              <w:rPr>
                <w:sz w:val="1"/>
                <w:szCs w:val="1"/>
                <w:color w:val="auto"/>
              </w:rPr>
            </w:pPr>
          </w:p>
        </w:tc>
      </w:tr>
      <w:tr>
        <w:trPr>
          <w:trHeight w:val="189"/>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banking</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0.21</w:t>
            </w:r>
          </w:p>
        </w:tc>
        <w:tc>
          <w:tcPr>
            <w:tcW w:w="80" w:type="dxa"/>
            <w:vAlign w:val="bottom"/>
          </w:tcPr>
          <w:p>
            <w:pPr>
              <w:spacing w:after="0"/>
              <w:rPr>
                <w:sz w:val="16"/>
                <w:szCs w:val="16"/>
                <w:color w:val="auto"/>
              </w:rPr>
            </w:pP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0.33</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6"/>
                <w:szCs w:val="16"/>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0.21</w:t>
            </w:r>
          </w:p>
        </w:tc>
        <w:tc>
          <w:tcPr>
            <w:tcW w:w="8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0.17</w:t>
            </w:r>
          </w:p>
        </w:tc>
        <w:tc>
          <w:tcPr>
            <w:tcW w:w="80" w:type="dxa"/>
            <w:vAlign w:val="bottom"/>
          </w:tcPr>
          <w:p>
            <w:pPr>
              <w:spacing w:after="0"/>
              <w:rPr>
                <w:sz w:val="16"/>
                <w:szCs w:val="16"/>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242424"/>
              </w:rPr>
              <w:t>4</w:t>
            </w: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charge-offs</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3.16</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3.24</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3.25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3.32</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(7)</w:t>
            </w:r>
          </w:p>
        </w:tc>
        <w:tc>
          <w:tcPr>
            <w:tcW w:w="0" w:type="dxa"/>
            <w:vAlign w:val="bottom"/>
          </w:tcPr>
          <w:p>
            <w:pPr>
              <w:spacing w:after="0"/>
              <w:rPr>
                <w:sz w:val="1"/>
                <w:szCs w:val="1"/>
                <w:color w:val="auto"/>
              </w:rPr>
            </w:pPr>
          </w:p>
        </w:tc>
      </w:tr>
      <w:tr>
        <w:trPr>
          <w:trHeight w:val="187"/>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30+ Day Performing Delinquency Rates</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Domestic credit card</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3.89 %</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6"/>
                <w:szCs w:val="16"/>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29 bps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(64)bps</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w w:val="99"/>
              </w:rPr>
              <w:t>3.89 %</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4.53%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(64)bps</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Personal loans</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1.74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1.62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1.74</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International card businesses</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4.60</w:t>
            </w:r>
          </w:p>
        </w:tc>
        <w:tc>
          <w:tcPr>
            <w:tcW w:w="80" w:type="dxa"/>
            <w:vAlign w:val="bottom"/>
          </w:tcPr>
          <w:p>
            <w:pPr>
              <w:spacing w:after="0"/>
              <w:rPr>
                <w:sz w:val="16"/>
                <w:szCs w:val="16"/>
                <w:color w:val="auto"/>
              </w:rPr>
            </w:pP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4.50</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6"/>
                <w:szCs w:val="16"/>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4.60</w:t>
            </w:r>
          </w:p>
        </w:tc>
        <w:tc>
          <w:tcPr>
            <w:tcW w:w="8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4.53</w:t>
            </w:r>
          </w:p>
        </w:tc>
        <w:tc>
          <w:tcPr>
            <w:tcW w:w="80" w:type="dxa"/>
            <w:vAlign w:val="bottom"/>
          </w:tcPr>
          <w:p>
            <w:pPr>
              <w:spacing w:after="0"/>
              <w:rPr>
                <w:sz w:val="16"/>
                <w:szCs w:val="16"/>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242424"/>
              </w:rPr>
              <w:t>7</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credit card</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3.84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3.55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3.84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4.53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(69)</w:t>
            </w:r>
          </w:p>
        </w:tc>
        <w:tc>
          <w:tcPr>
            <w:tcW w:w="0" w:type="dxa"/>
            <w:vAlign w:val="bottom"/>
          </w:tcPr>
          <w:p>
            <w:pPr>
              <w:spacing w:after="0"/>
              <w:rPr>
                <w:sz w:val="1"/>
                <w:szCs w:val="1"/>
                <w:color w:val="auto"/>
              </w:rPr>
            </w:pPr>
          </w:p>
        </w:tc>
      </w:tr>
      <w:tr>
        <w:trPr>
          <w:trHeight w:val="189"/>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banking:</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Auto</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4.99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4.84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(62)</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4.99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5.61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(62)</w:t>
            </w:r>
          </w:p>
        </w:tc>
        <w:tc>
          <w:tcPr>
            <w:tcW w:w="0" w:type="dxa"/>
            <w:vAlign w:val="bottom"/>
          </w:tcPr>
          <w:p>
            <w:pPr>
              <w:spacing w:after="0"/>
              <w:rPr>
                <w:sz w:val="1"/>
                <w:szCs w:val="1"/>
                <w:color w:val="auto"/>
              </w:rPr>
            </w:pPr>
          </w:p>
        </w:tc>
      </w:tr>
      <w:tr>
        <w:trPr>
          <w:trHeight w:val="189"/>
        </w:trPr>
        <w:tc>
          <w:tcPr>
            <w:tcW w:w="2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Retail banking</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0.89</w:t>
            </w:r>
          </w:p>
        </w:tc>
        <w:tc>
          <w:tcPr>
            <w:tcW w:w="80" w:type="dxa"/>
            <w:vAlign w:val="bottom"/>
          </w:tcPr>
          <w:p>
            <w:pPr>
              <w:spacing w:after="0"/>
              <w:rPr>
                <w:sz w:val="16"/>
                <w:szCs w:val="16"/>
                <w:color w:val="auto"/>
              </w:rPr>
            </w:pP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7"/>
              </w:rPr>
              <w:t>0.93</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0.95</w:t>
            </w:r>
          </w:p>
        </w:tc>
        <w:tc>
          <w:tcPr>
            <w:tcW w:w="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0.89</w:t>
            </w:r>
          </w:p>
        </w:tc>
        <w:tc>
          <w:tcPr>
            <w:tcW w:w="8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0.95</w:t>
            </w: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242424"/>
              </w:rPr>
              <w:t>(6)</w:t>
            </w:r>
          </w:p>
        </w:tc>
        <w:tc>
          <w:tcPr>
            <w:tcW w:w="0" w:type="dxa"/>
            <w:vAlign w:val="bottom"/>
          </w:tcPr>
          <w:p>
            <w:pPr>
              <w:spacing w:after="0"/>
              <w:rPr>
                <w:sz w:val="1"/>
                <w:szCs w:val="1"/>
                <w:color w:val="auto"/>
              </w:rPr>
            </w:pPr>
          </w:p>
        </w:tc>
      </w:tr>
      <w:tr>
        <w:trPr>
          <w:trHeight w:val="20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 banking</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4.93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4.78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(60)</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4.93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5.53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(60)</w:t>
            </w:r>
          </w:p>
        </w:tc>
        <w:tc>
          <w:tcPr>
            <w:tcW w:w="0" w:type="dxa"/>
            <w:vAlign w:val="bottom"/>
          </w:tcPr>
          <w:p>
            <w:pPr>
              <w:spacing w:after="0"/>
              <w:rPr>
                <w:sz w:val="1"/>
                <w:szCs w:val="1"/>
                <w:color w:val="auto"/>
              </w:rPr>
            </w:pPr>
          </w:p>
        </w:tc>
      </w:tr>
      <w:tr>
        <w:trPr>
          <w:trHeight w:val="859"/>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2"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2025 Q3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242424"/>
              </w:rPr>
              <w:t>Nine Months Ended September 30,</w:t>
            </w:r>
          </w:p>
        </w:tc>
        <w:tc>
          <w:tcPr>
            <w:tcW w:w="0" w:type="dxa"/>
            <w:vAlign w:val="bottom"/>
          </w:tcPr>
          <w:p>
            <w:pPr>
              <w:spacing w:after="0"/>
              <w:rPr>
                <w:sz w:val="1"/>
                <w:szCs w:val="1"/>
                <w:color w:val="auto"/>
              </w:rPr>
            </w:pPr>
          </w:p>
        </w:tc>
      </w:tr>
      <w:tr>
        <w:trPr>
          <w:trHeight w:val="23"/>
        </w:trPr>
        <w:tc>
          <w:tcPr>
            <w:tcW w:w="3020" w:type="dxa"/>
            <w:vAlign w:val="bottom"/>
          </w:tcPr>
          <w:p>
            <w:pPr>
              <w:spacing w:after="0" w:line="20" w:lineRule="exact"/>
              <w:rPr>
                <w:sz w:val="1"/>
                <w:szCs w:val="1"/>
                <w:color w:val="auto"/>
              </w:rPr>
            </w:pPr>
          </w:p>
        </w:tc>
        <w:tc>
          <w:tcPr>
            <w:tcW w:w="80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7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242424"/>
              </w:rPr>
              <w:t>2025 vs.</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Q3</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Q2</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9"/>
              </w:rPr>
              <w:t>Q1</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Q4</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2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6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Q3</w:t>
            </w:r>
          </w:p>
        </w:tc>
        <w:tc>
          <w:tcPr>
            <w:tcW w:w="78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242424"/>
              </w:rPr>
              <w:t>2025</w:t>
            </w:r>
          </w:p>
        </w:tc>
        <w:tc>
          <w:tcPr>
            <w:tcW w:w="80" w:type="dxa"/>
            <w:vAlign w:val="bottom"/>
          </w:tcPr>
          <w:p>
            <w:pPr>
              <w:spacing w:after="0"/>
              <w:rPr>
                <w:sz w:val="2"/>
                <w:szCs w:val="2"/>
                <w:color w:val="auto"/>
              </w:rPr>
            </w:pPr>
          </w:p>
        </w:tc>
        <w:tc>
          <w:tcPr>
            <w:tcW w:w="6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242424"/>
              </w:rPr>
              <w:t>2024</w:t>
            </w:r>
          </w:p>
        </w:tc>
        <w:tc>
          <w:tcPr>
            <w:tcW w:w="0" w:type="dxa"/>
            <w:vAlign w:val="bottom"/>
          </w:tcPr>
          <w:p>
            <w:pPr>
              <w:spacing w:after="0"/>
              <w:rPr>
                <w:sz w:val="1"/>
                <w:szCs w:val="1"/>
                <w:color w:val="auto"/>
              </w:rPr>
            </w:pPr>
          </w:p>
        </w:tc>
      </w:tr>
      <w:tr>
        <w:trPr>
          <w:trHeight w:val="128"/>
        </w:trPr>
        <w:tc>
          <w:tcPr>
            <w:tcW w:w="3020" w:type="dxa"/>
            <w:vAlign w:val="bottom"/>
            <w:tcBorders>
              <w:top w:val="single" w:sz="8" w:color="auto"/>
            </w:tcBorders>
            <w:shd w:val="clear" w:color="auto" w:fill="CCEEFF"/>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Nonperforming Loans and Nonperforming Assets</w:t>
            </w: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020" w:type="dxa"/>
            <w:vAlign w:val="bottom"/>
            <w:tcBorders>
              <w:bottom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22"/>
                <w:szCs w:val="22"/>
                <w:b w:val="1"/>
                <w:bCs w:val="1"/>
                <w:color w:val="auto"/>
                <w:vertAlign w:val="subscript"/>
              </w:rPr>
              <w:t>Rates</w:t>
            </w:r>
            <w:r>
              <w:rPr>
                <w:rFonts w:ascii="Times New Roman" w:cs="Times New Roman" w:eastAsia="Times New Roman" w:hAnsi="Times New Roman"/>
                <w:sz w:val="8"/>
                <w:szCs w:val="8"/>
                <w:b w:val="1"/>
                <w:bCs w:val="1"/>
                <w:color w:val="auto"/>
              </w:rPr>
              <w:t>(5)(6)</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Personal loans</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0.13 %</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 bps</w:t>
            </w: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0.13 %</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International card businesses</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0.16</w:t>
            </w:r>
          </w:p>
        </w:tc>
        <w:tc>
          <w:tcPr>
            <w:tcW w:w="80" w:type="dxa"/>
            <w:vAlign w:val="bottom"/>
          </w:tcPr>
          <w:p>
            <w:pPr>
              <w:spacing w:after="0"/>
              <w:rPr>
                <w:sz w:val="16"/>
                <w:szCs w:val="16"/>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0" w:type="dxa"/>
            <w:vAlign w:val="bottom"/>
          </w:tcPr>
          <w:p>
            <w:pPr>
              <w:spacing w:after="0"/>
              <w:rPr>
                <w:sz w:val="16"/>
                <w:szCs w:val="16"/>
                <w:color w:val="auto"/>
              </w:rPr>
            </w:pPr>
          </w:p>
        </w:tc>
        <w:tc>
          <w:tcPr>
            <w:tcW w:w="12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bps</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0.16</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0.15%</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242424"/>
              </w:rPr>
              <w:t>1 bps</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credit card</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0.01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0.01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0.01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242424"/>
              </w:rPr>
              <w:t>—</w:t>
            </w:r>
          </w:p>
        </w:tc>
        <w:tc>
          <w:tcPr>
            <w:tcW w:w="0" w:type="dxa"/>
            <w:vAlign w:val="bottom"/>
          </w:tcPr>
          <w:p>
            <w:pPr>
              <w:spacing w:after="0"/>
              <w:rPr>
                <w:sz w:val="1"/>
                <w:szCs w:val="1"/>
                <w:color w:val="auto"/>
              </w:rPr>
            </w:pP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banking:</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Auto</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0.71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0.72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(20)</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0.71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0.91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(20)</w:t>
            </w:r>
          </w:p>
        </w:tc>
        <w:tc>
          <w:tcPr>
            <w:tcW w:w="0" w:type="dxa"/>
            <w:vAlign w:val="bottom"/>
          </w:tcPr>
          <w:p>
            <w:pPr>
              <w:spacing w:after="0"/>
              <w:rPr>
                <w:sz w:val="1"/>
                <w:szCs w:val="1"/>
                <w:color w:val="auto"/>
              </w:rPr>
            </w:pPr>
          </w:p>
        </w:tc>
      </w:tr>
      <w:tr>
        <w:trPr>
          <w:trHeight w:val="189"/>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Retail banking</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1.65</w:t>
            </w:r>
          </w:p>
        </w:tc>
        <w:tc>
          <w:tcPr>
            <w:tcW w:w="80" w:type="dxa"/>
            <w:vAlign w:val="bottom"/>
          </w:tcPr>
          <w:p>
            <w:pPr>
              <w:spacing w:after="0"/>
              <w:rPr>
                <w:sz w:val="16"/>
                <w:szCs w:val="16"/>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1.65</w:t>
            </w:r>
          </w:p>
        </w:tc>
        <w:tc>
          <w:tcPr>
            <w:tcW w:w="80" w:type="dxa"/>
            <w:vAlign w:val="bottom"/>
          </w:tcPr>
          <w:p>
            <w:pPr>
              <w:spacing w:after="0"/>
              <w:rPr>
                <w:sz w:val="16"/>
                <w:szCs w:val="16"/>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2.19</w:t>
            </w: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242424"/>
              </w:rPr>
              <w:t>(54)</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 banking</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0.73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0.99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0.93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(20)</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0.73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0.93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(20)</w:t>
            </w:r>
          </w:p>
        </w:tc>
        <w:tc>
          <w:tcPr>
            <w:tcW w:w="0" w:type="dxa"/>
            <w:vAlign w:val="bottom"/>
          </w:tcPr>
          <w:p>
            <w:pPr>
              <w:spacing w:after="0"/>
              <w:rPr>
                <w:sz w:val="1"/>
                <w:szCs w:val="1"/>
                <w:color w:val="auto"/>
              </w:rPr>
            </w:pP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banking:</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and multifamily real estate</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1.05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(91)</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1.05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1.96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(91)</w:t>
            </w:r>
          </w:p>
        </w:tc>
        <w:tc>
          <w:tcPr>
            <w:tcW w:w="0" w:type="dxa"/>
            <w:vAlign w:val="bottom"/>
          </w:tcPr>
          <w:p>
            <w:pPr>
              <w:spacing w:after="0"/>
              <w:rPr>
                <w:sz w:val="1"/>
                <w:szCs w:val="1"/>
                <w:color w:val="auto"/>
              </w:rPr>
            </w:pPr>
          </w:p>
        </w:tc>
      </w:tr>
      <w:tr>
        <w:trPr>
          <w:trHeight w:val="189"/>
        </w:trPr>
        <w:tc>
          <w:tcPr>
            <w:tcW w:w="3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1.59</w:t>
            </w:r>
          </w:p>
        </w:tc>
        <w:tc>
          <w:tcPr>
            <w:tcW w:w="80" w:type="dxa"/>
            <w:vAlign w:val="bottom"/>
          </w:tcPr>
          <w:p>
            <w:pPr>
              <w:spacing w:after="0"/>
              <w:rPr>
                <w:sz w:val="16"/>
                <w:szCs w:val="16"/>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27</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1.59</w:t>
            </w:r>
          </w:p>
        </w:tc>
        <w:tc>
          <w:tcPr>
            <w:tcW w:w="80" w:type="dxa"/>
            <w:vAlign w:val="bottom"/>
          </w:tcPr>
          <w:p>
            <w:pPr>
              <w:spacing w:after="0"/>
              <w:rPr>
                <w:sz w:val="16"/>
                <w:szCs w:val="16"/>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1.32</w:t>
            </w:r>
          </w:p>
        </w:tc>
        <w:tc>
          <w:tcPr>
            <w:tcW w:w="80" w:type="dxa"/>
            <w:vAlign w:val="bottom"/>
          </w:tcPr>
          <w:p>
            <w:pPr>
              <w:spacing w:after="0"/>
              <w:rPr>
                <w:sz w:val="16"/>
                <w:szCs w:val="16"/>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242424"/>
              </w:rPr>
              <w:t>27</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banking</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1.39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(16)</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1.39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1.55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(16)</w:t>
            </w:r>
          </w:p>
        </w:tc>
        <w:tc>
          <w:tcPr>
            <w:tcW w:w="0" w:type="dxa"/>
            <w:vAlign w:val="bottom"/>
          </w:tcPr>
          <w:p>
            <w:pPr>
              <w:spacing w:after="0"/>
              <w:rPr>
                <w:sz w:val="1"/>
                <w:szCs w:val="1"/>
                <w:color w:val="auto"/>
              </w:rPr>
            </w:pP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nonperforming loans</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0.42</w:t>
            </w:r>
          </w:p>
        </w:tc>
        <w:tc>
          <w:tcPr>
            <w:tcW w:w="80" w:type="dxa"/>
            <w:vAlign w:val="bottom"/>
          </w:tcPr>
          <w:p>
            <w:pPr>
              <w:spacing w:after="0"/>
              <w:rPr>
                <w:sz w:val="16"/>
                <w:szCs w:val="16"/>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0.40</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tcPr>
          <w:p>
            <w:pPr>
              <w:spacing w:after="0"/>
              <w:rPr>
                <w:sz w:val="16"/>
                <w:szCs w:val="16"/>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Pr>
          <w:p>
            <w:pPr>
              <w:spacing w:after="0"/>
              <w:rPr>
                <w:sz w:val="16"/>
                <w:szCs w:val="16"/>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(23)</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242424"/>
              </w:rPr>
              <w:t>0.42</w:t>
            </w:r>
          </w:p>
        </w:tc>
        <w:tc>
          <w:tcPr>
            <w:tcW w:w="80" w:type="dxa"/>
            <w:vAlign w:val="bottom"/>
          </w:tcPr>
          <w:p>
            <w:pPr>
              <w:spacing w:after="0"/>
              <w:rPr>
                <w:sz w:val="16"/>
                <w:szCs w:val="16"/>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242424"/>
              </w:rPr>
              <w:t>0.65</w:t>
            </w: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242424"/>
              </w:rPr>
              <w:t>(23)</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0.44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0.63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0.67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(23)</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42424"/>
              </w:rPr>
              <w:t>0.44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242424"/>
              </w:rPr>
              <w:t>0.67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242424"/>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9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8: Allowance for Credit Losses and Reserve for Unfunded Lending Commitments Activity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4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6"/>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7"/>
              </w:rPr>
              <w:t>Consumer Banking</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Domestic</w:t>
            </w:r>
          </w:p>
        </w:tc>
        <w:tc>
          <w:tcPr>
            <w:tcW w:w="14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Personal</w:t>
            </w:r>
          </w:p>
        </w:tc>
        <w:tc>
          <w:tcPr>
            <w:tcW w:w="86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International</w:t>
            </w:r>
          </w:p>
        </w:tc>
        <w:tc>
          <w:tcPr>
            <w:tcW w:w="8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Credit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1"/>
                <w:szCs w:val="11"/>
                <w:color w:val="auto"/>
              </w:rPr>
            </w:pPr>
          </w:p>
        </w:tc>
        <w:tc>
          <w:tcPr>
            <w:tcW w:w="660" w:type="dxa"/>
            <w:vAlign w:val="bottom"/>
          </w:tcPr>
          <w:p>
            <w:pPr>
              <w:jc w:val="center"/>
              <w:ind w:right="51"/>
              <w:spacing w:after="0" w:line="13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1"/>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Card</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Consumer</w:t>
            </w: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Card</w:t>
            </w:r>
          </w:p>
        </w:tc>
        <w:tc>
          <w:tcPr>
            <w:tcW w:w="14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00" w:type="dxa"/>
            <w:vAlign w:val="bottom"/>
          </w:tcPr>
          <w:p>
            <w:pPr>
              <w:spacing w:after="0"/>
              <w:rPr>
                <w:sz w:val="16"/>
                <w:szCs w:val="16"/>
                <w:color w:val="auto"/>
              </w:rPr>
            </w:pPr>
          </w:p>
        </w:tc>
        <w:tc>
          <w:tcPr>
            <w:tcW w:w="76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Businesses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Card</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as of June 30,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19,229</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20,474</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23,873</w:t>
            </w:r>
          </w:p>
        </w:tc>
        <w:tc>
          <w:tcPr>
            <w:tcW w:w="0" w:type="dxa"/>
            <w:vAlign w:val="bottom"/>
          </w:tcPr>
          <w:p>
            <w:pPr>
              <w:spacing w:after="0"/>
              <w:rPr>
                <w:sz w:val="1"/>
                <w:szCs w:val="1"/>
                <w:color w:val="auto"/>
              </w:rPr>
            </w:pPr>
          </w:p>
        </w:tc>
      </w:tr>
      <w:tr>
        <w:trPr>
          <w:trHeight w:val="201"/>
        </w:trPr>
        <w:tc>
          <w:tcPr>
            <w:tcW w:w="3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Charge-offs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w w:val="98"/>
              </w:rPr>
              <w:t>(121)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(4,941)</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1,035</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1,468</w:t>
            </w:r>
          </w:p>
        </w:tc>
        <w:tc>
          <w:tcPr>
            <w:tcW w:w="0" w:type="dxa"/>
            <w:vAlign w:val="bottom"/>
          </w:tcPr>
          <w:p>
            <w:pPr>
              <w:spacing w:after="0"/>
              <w:rPr>
                <w:sz w:val="1"/>
                <w:szCs w:val="1"/>
                <w:color w:val="auto"/>
              </w:rPr>
            </w:pPr>
          </w:p>
        </w:tc>
      </w:tr>
      <w:tr>
        <w:trPr>
          <w:trHeight w:val="193"/>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charge-offs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(93)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(3,473)</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2,163</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2,713</w:t>
            </w:r>
          </w:p>
        </w:tc>
        <w:tc>
          <w:tcPr>
            <w:tcW w:w="0" w:type="dxa"/>
            <w:vAlign w:val="bottom"/>
          </w:tcPr>
          <w:p>
            <w:pPr>
              <w:spacing w:after="0"/>
              <w:rPr>
                <w:sz w:val="1"/>
                <w:szCs w:val="1"/>
                <w:color w:val="auto"/>
              </w:rPr>
            </w:pPr>
          </w:p>
        </w:tc>
      </w:tr>
      <w:tr>
        <w:trPr>
          <w:trHeight w:val="193"/>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build (release) for credit losses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(760)</w:t>
            </w:r>
          </w:p>
        </w:tc>
        <w:tc>
          <w:tcPr>
            <w:tcW w:w="0" w:type="dxa"/>
            <w:vAlign w:val="bottom"/>
          </w:tcPr>
          <w:p>
            <w:pPr>
              <w:spacing w:after="0"/>
              <w:rPr>
                <w:sz w:val="1"/>
                <w:szCs w:val="1"/>
                <w:color w:val="auto"/>
              </w:rPr>
            </w:pPr>
          </w:p>
        </w:tc>
      </w:tr>
      <w:tr>
        <w:trPr>
          <w:trHeight w:val="194"/>
        </w:trPr>
        <w:tc>
          <w:tcPr>
            <w:tcW w:w="34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4"/>
                <w:szCs w:val="14"/>
                <w:color w:val="auto"/>
              </w:rPr>
              <w:t>Other changes</w:t>
            </w:r>
            <w:r>
              <w:rPr>
                <w:rFonts w:ascii="Times New Roman" w:cs="Times New Roman" w:eastAsia="Times New Roman" w:hAnsi="Times New Roman"/>
                <w:sz w:val="17"/>
                <w:szCs w:val="17"/>
                <w:color w:val="auto"/>
                <w:vertAlign w:val="superscript"/>
              </w:rPr>
              <w:t>(8)</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187"/>
        </w:trPr>
        <w:tc>
          <w:tcPr>
            <w:tcW w:w="3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18,476</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19,727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23,103</w:t>
            </w:r>
          </w:p>
        </w:tc>
        <w:tc>
          <w:tcPr>
            <w:tcW w:w="0" w:type="dxa"/>
            <w:vAlign w:val="bottom"/>
          </w:tcPr>
          <w:p>
            <w:pPr>
              <w:spacing w:after="0"/>
              <w:rPr>
                <w:sz w:val="1"/>
                <w:szCs w:val="1"/>
                <w:color w:val="auto"/>
              </w:rPr>
            </w:pPr>
          </w:p>
        </w:tc>
      </w:tr>
      <w:tr>
        <w:trPr>
          <w:trHeight w:val="16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Reserve for unfunded lending commitments: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June 30, 2025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losses on unfunded lending commitments</w:t>
            </w: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3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0" w:type="dxa"/>
            <w:vAlign w:val="bottom"/>
          </w:tcPr>
          <w:p>
            <w:pPr>
              <w:spacing w:after="0"/>
              <w:rPr>
                <w:sz w:val="1"/>
                <w:szCs w:val="1"/>
                <w:color w:val="auto"/>
              </w:rPr>
            </w:pPr>
          </w:p>
        </w:tc>
      </w:tr>
      <w:tr>
        <w:trPr>
          <w:trHeight w:val="111"/>
        </w:trPr>
        <w:tc>
          <w:tcPr>
            <w:tcW w:w="346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Combined allowance and reserve as of September 30,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18,476</w:t>
            </w:r>
          </w:p>
        </w:tc>
        <w:tc>
          <w:tcPr>
            <w:tcW w:w="6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484</w:t>
            </w:r>
          </w:p>
        </w:tc>
        <w:tc>
          <w:tcPr>
            <w:tcW w:w="80" w:type="dxa"/>
            <w:vAlign w:val="bottom"/>
            <w:vMerge w:val="restart"/>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19,727</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1,855</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1,878</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1,633</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23,238</w:t>
            </w:r>
          </w:p>
        </w:tc>
        <w:tc>
          <w:tcPr>
            <w:tcW w:w="0" w:type="dxa"/>
            <w:vAlign w:val="bottom"/>
          </w:tcPr>
          <w:p>
            <w:pPr>
              <w:spacing w:after="0"/>
              <w:rPr>
                <w:sz w:val="1"/>
                <w:szCs w:val="1"/>
                <w:color w:val="auto"/>
              </w:rPr>
            </w:pPr>
          </w:p>
        </w:tc>
      </w:tr>
      <w:tr>
        <w:trPr>
          <w:trHeight w:val="172"/>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6"/>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7"/>
              </w:rPr>
              <w:t>Consumer Banking</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Domestic</w:t>
            </w:r>
          </w:p>
        </w:tc>
        <w:tc>
          <w:tcPr>
            <w:tcW w:w="14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Personal</w:t>
            </w:r>
          </w:p>
        </w:tc>
        <w:tc>
          <w:tcPr>
            <w:tcW w:w="8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International</w:t>
            </w:r>
          </w:p>
        </w:tc>
        <w:tc>
          <w:tcPr>
            <w:tcW w:w="8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Credit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1"/>
                <w:szCs w:val="11"/>
                <w:color w:val="auto"/>
              </w:rPr>
            </w:pPr>
          </w:p>
        </w:tc>
        <w:tc>
          <w:tcPr>
            <w:tcW w:w="660" w:type="dxa"/>
            <w:vAlign w:val="bottom"/>
          </w:tcPr>
          <w:p>
            <w:pPr>
              <w:jc w:val="center"/>
              <w:ind w:right="51"/>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6"/>
              </w:rPr>
              <w:t>Card</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6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Consumer</w:t>
            </w: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Card</w:t>
            </w:r>
          </w:p>
        </w:tc>
        <w:tc>
          <w:tcPr>
            <w:tcW w:w="14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00" w:type="dxa"/>
            <w:vAlign w:val="bottom"/>
          </w:tcPr>
          <w:p>
            <w:pPr>
              <w:spacing w:after="0"/>
              <w:rPr>
                <w:sz w:val="16"/>
                <w:szCs w:val="16"/>
                <w:color w:val="auto"/>
              </w:rPr>
            </w:pPr>
          </w:p>
        </w:tc>
        <w:tc>
          <w:tcPr>
            <w:tcW w:w="76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Businesses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Card</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12,494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12,974</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16,258</w:t>
            </w:r>
          </w:p>
        </w:tc>
        <w:tc>
          <w:tcPr>
            <w:tcW w:w="0" w:type="dxa"/>
            <w:vAlign w:val="bottom"/>
          </w:tcPr>
          <w:p>
            <w:pPr>
              <w:spacing w:after="0"/>
              <w:rPr>
                <w:sz w:val="1"/>
                <w:szCs w:val="1"/>
                <w:color w:val="auto"/>
              </w:rPr>
            </w:pPr>
          </w:p>
        </w:tc>
      </w:tr>
      <w:tr>
        <w:trPr>
          <w:trHeight w:val="201"/>
        </w:trPr>
        <w:tc>
          <w:tcPr>
            <w:tcW w:w="3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Charge-offs</w:t>
            </w:r>
            <w:r>
              <w:rPr>
                <w:rFonts w:ascii="Times New Roman" w:cs="Times New Roman" w:eastAsia="Times New Roman" w:hAnsi="Times New Roman"/>
                <w:sz w:val="17"/>
                <w:szCs w:val="17"/>
                <w:color w:val="auto"/>
                <w:vertAlign w:val="superscript"/>
              </w:rPr>
              <w:t>(3)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(10,199)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w w:val="98"/>
              </w:rPr>
              <w:t>(177)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(12,916)</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2,375</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2,551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3,647</w:t>
            </w:r>
          </w:p>
        </w:tc>
        <w:tc>
          <w:tcPr>
            <w:tcW w:w="0" w:type="dxa"/>
            <w:vAlign w:val="bottom"/>
          </w:tcPr>
          <w:p>
            <w:pPr>
              <w:spacing w:after="0"/>
              <w:rPr>
                <w:sz w:val="1"/>
                <w:szCs w:val="1"/>
                <w:color w:val="auto"/>
              </w:rPr>
            </w:pPr>
          </w:p>
        </w:tc>
      </w:tr>
      <w:tr>
        <w:trPr>
          <w:trHeight w:val="193"/>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charge-offs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(7,824)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w w:val="98"/>
              </w:rPr>
              <w:t>(134)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(9,269)</w:t>
            </w:r>
          </w:p>
        </w:tc>
        <w:tc>
          <w:tcPr>
            <w:tcW w:w="0" w:type="dxa"/>
            <w:vAlign w:val="bottom"/>
          </w:tcPr>
          <w:p>
            <w:pPr>
              <w:spacing w:after="0"/>
              <w:rPr>
                <w:sz w:val="1"/>
                <w:szCs w:val="1"/>
                <w:color w:val="auto"/>
              </w:rPr>
            </w:pPr>
          </w:p>
        </w:tc>
      </w:tr>
      <w:tr>
        <w:trPr>
          <w:trHeight w:val="18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Initial allowance for purchased credit-deteriorated loans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2,870</w:t>
            </w:r>
          </w:p>
        </w:tc>
        <w:tc>
          <w:tcPr>
            <w:tcW w:w="0" w:type="dxa"/>
            <w:vAlign w:val="bottom"/>
          </w:tcPr>
          <w:p>
            <w:pPr>
              <w:spacing w:after="0"/>
              <w:rPr>
                <w:sz w:val="1"/>
                <w:szCs w:val="1"/>
                <w:color w:val="auto"/>
              </w:rPr>
            </w:pPr>
          </w:p>
        </w:tc>
      </w:tr>
      <w:tr>
        <w:trPr>
          <w:trHeight w:val="20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from expected recoveries of charged off loans</w:t>
            </w:r>
            <w:r>
              <w:rPr>
                <w:rFonts w:ascii="Times New Roman" w:cs="Times New Roman" w:eastAsia="Times New Roman" w:hAnsi="Times New Roman"/>
                <w:sz w:val="17"/>
                <w:szCs w:val="17"/>
                <w:color w:val="auto"/>
                <w:vertAlign w:val="superscript"/>
              </w:rPr>
              <w:t>(9)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w w:val="98"/>
              </w:rPr>
              <w:t>(170)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(3,305)</w:t>
            </w:r>
          </w:p>
        </w:tc>
        <w:tc>
          <w:tcPr>
            <w:tcW w:w="0" w:type="dxa"/>
            <w:vAlign w:val="bottom"/>
          </w:tcPr>
          <w:p>
            <w:pPr>
              <w:spacing w:after="0"/>
              <w:rPr>
                <w:sz w:val="1"/>
                <w:szCs w:val="1"/>
                <w:color w:val="auto"/>
              </w:rPr>
            </w:pPr>
          </w:p>
        </w:tc>
      </w:tr>
      <w:tr>
        <w:trPr>
          <w:trHeight w:val="194"/>
        </w:trPr>
        <w:tc>
          <w:tcPr>
            <w:tcW w:w="3460" w:type="dxa"/>
            <w:vAlign w:val="bottom"/>
            <w:tcBorders>
              <w:bottom w:val="single" w:sz="8" w:color="CCEEFF"/>
            </w:tcBorders>
            <w:gridSpan w:val="2"/>
          </w:tcPr>
          <w:p>
            <w:pPr>
              <w:ind w:left="20"/>
              <w:spacing w:after="0" w:line="194" w:lineRule="exact"/>
              <w:rPr>
                <w:sz w:val="20"/>
                <w:szCs w:val="20"/>
                <w:color w:val="auto"/>
              </w:rPr>
            </w:pPr>
            <w:r>
              <w:rPr>
                <w:rFonts w:ascii="Times New Roman" w:cs="Times New Roman" w:eastAsia="Times New Roman" w:hAnsi="Times New Roman"/>
                <w:sz w:val="14"/>
                <w:szCs w:val="14"/>
                <w:color w:val="auto"/>
              </w:rPr>
              <w:t>Provision for credit losses</w:t>
            </w:r>
            <w:r>
              <w:rPr>
                <w:rFonts w:ascii="Times New Roman" w:cs="Times New Roman" w:eastAsia="Times New Roman" w:hAnsi="Times New Roman"/>
                <w:sz w:val="17"/>
                <w:szCs w:val="17"/>
                <w:color w:val="auto"/>
                <w:vertAlign w:val="superscript"/>
              </w:rPr>
              <w:t>(7)</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14,219</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15,388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16,521</w:t>
            </w:r>
          </w:p>
        </w:tc>
        <w:tc>
          <w:tcPr>
            <w:tcW w:w="0" w:type="dxa"/>
            <w:vAlign w:val="bottom"/>
          </w:tcPr>
          <w:p>
            <w:pPr>
              <w:spacing w:after="0"/>
              <w:rPr>
                <w:sz w:val="1"/>
                <w:szCs w:val="1"/>
                <w:color w:val="auto"/>
              </w:rPr>
            </w:pPr>
          </w:p>
        </w:tc>
      </w:tr>
      <w:tr>
        <w:trPr>
          <w:trHeight w:val="187"/>
        </w:trPr>
        <w:tc>
          <w:tcPr>
            <w:tcW w:w="34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4"/>
                <w:szCs w:val="14"/>
                <w:color w:val="auto"/>
              </w:rPr>
              <w:t>Allowance build (release) for credit losses</w:t>
            </w:r>
            <w:r>
              <w:rPr>
                <w:rFonts w:ascii="Times New Roman" w:cs="Times New Roman" w:eastAsia="Times New Roman" w:hAnsi="Times New Roman"/>
                <w:sz w:val="17"/>
                <w:szCs w:val="17"/>
                <w:color w:val="auto"/>
                <w:vertAlign w:val="superscript"/>
              </w:rPr>
              <w:t>(7)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5,982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6,817</w:t>
            </w:r>
          </w:p>
        </w:tc>
        <w:tc>
          <w:tcPr>
            <w:tcW w:w="0" w:type="dxa"/>
            <w:vAlign w:val="bottom"/>
          </w:tcPr>
          <w:p>
            <w:pPr>
              <w:spacing w:after="0"/>
              <w:rPr>
                <w:sz w:val="1"/>
                <w:szCs w:val="1"/>
                <w:color w:val="auto"/>
              </w:rPr>
            </w:pPr>
          </w:p>
        </w:tc>
      </w:tr>
      <w:tr>
        <w:trPr>
          <w:trHeight w:val="194"/>
        </w:trPr>
        <w:tc>
          <w:tcPr>
            <w:tcW w:w="34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4"/>
                <w:szCs w:val="14"/>
                <w:color w:val="auto"/>
              </w:rPr>
              <w:t>Other changes</w:t>
            </w:r>
            <w:r>
              <w:rPr>
                <w:rFonts w:ascii="Times New Roman" w:cs="Times New Roman" w:eastAsia="Times New Roman" w:hAnsi="Times New Roman"/>
                <w:sz w:val="17"/>
                <w:szCs w:val="17"/>
                <w:color w:val="auto"/>
                <w:vertAlign w:val="superscript"/>
              </w:rPr>
              <w:t>(8)</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0" w:type="dxa"/>
            <w:vAlign w:val="bottom"/>
          </w:tcPr>
          <w:p>
            <w:pPr>
              <w:spacing w:after="0"/>
              <w:rPr>
                <w:sz w:val="1"/>
                <w:szCs w:val="1"/>
                <w:color w:val="auto"/>
              </w:rPr>
            </w:pPr>
          </w:p>
        </w:tc>
      </w:tr>
      <w:tr>
        <w:trPr>
          <w:trHeight w:val="187"/>
        </w:trPr>
        <w:tc>
          <w:tcPr>
            <w:tcW w:w="3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18,476</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19,727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23,103</w:t>
            </w:r>
          </w:p>
        </w:tc>
        <w:tc>
          <w:tcPr>
            <w:tcW w:w="0" w:type="dxa"/>
            <w:vAlign w:val="bottom"/>
          </w:tcPr>
          <w:p>
            <w:pPr>
              <w:spacing w:after="0"/>
              <w:rPr>
                <w:sz w:val="1"/>
                <w:szCs w:val="1"/>
                <w:color w:val="auto"/>
              </w:rPr>
            </w:pPr>
          </w:p>
        </w:tc>
      </w:tr>
      <w:tr>
        <w:trPr>
          <w:trHeight w:val="16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Reserve for unfunded lending commitments: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30"/>
        </w:trPr>
        <w:tc>
          <w:tcPr>
            <w:tcW w:w="34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4"/>
                <w:szCs w:val="14"/>
                <w:color w:val="auto"/>
              </w:rPr>
              <w:t>Provision (benefit) for losses on unfunded lending</w:t>
            </w:r>
          </w:p>
        </w:tc>
        <w:tc>
          <w:tcPr>
            <w:tcW w:w="100" w:type="dxa"/>
            <w:vAlign w:val="bottom"/>
          </w:tcPr>
          <w:p>
            <w:pPr>
              <w:spacing w:after="0"/>
              <w:rPr>
                <w:sz w:val="11"/>
                <w:szCs w:val="11"/>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18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w:t>
            </w: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0" w:type="dxa"/>
            <w:vAlign w:val="bottom"/>
          </w:tcPr>
          <w:p>
            <w:pPr>
              <w:spacing w:after="0"/>
              <w:rPr>
                <w:sz w:val="1"/>
                <w:szCs w:val="1"/>
                <w:color w:val="auto"/>
              </w:rPr>
            </w:pPr>
          </w:p>
        </w:tc>
      </w:tr>
      <w:tr>
        <w:trPr>
          <w:trHeight w:val="110"/>
        </w:trPr>
        <w:tc>
          <w:tcPr>
            <w:tcW w:w="346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Combined allowance and reserve as of September 30,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18,476</w:t>
            </w:r>
          </w:p>
        </w:tc>
        <w:tc>
          <w:tcPr>
            <w:tcW w:w="6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484</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19,727</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1,855</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1,878</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1,633</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23,238</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9: Financial Summary—Business Segment Results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4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4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Credit Card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9"/>
              </w:rPr>
              <w:t>Consumer</w:t>
            </w:r>
          </w:p>
        </w:tc>
        <w:tc>
          <w:tcPr>
            <w:tcW w:w="92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7"/>
              </w:rPr>
              <w:t>Commercial</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7"/>
                <w:szCs w:val="17"/>
                <w:b w:val="1"/>
                <w:bCs w:val="1"/>
                <w:color w:val="auto"/>
                <w:vertAlign w:val="superscript"/>
              </w:rPr>
              <w:t>(10)</w:t>
            </w:r>
          </w:p>
        </w:tc>
        <w:tc>
          <w:tcPr>
            <w:tcW w:w="140" w:type="dxa"/>
            <w:vAlign w:val="bottom"/>
          </w:tcPr>
          <w:p>
            <w:pPr>
              <w:spacing w:after="0"/>
              <w:rPr>
                <w:sz w:val="10"/>
                <w:szCs w:val="10"/>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Credit Card</w:t>
            </w:r>
          </w:p>
        </w:tc>
        <w:tc>
          <w:tcPr>
            <w:tcW w:w="80" w:type="dxa"/>
            <w:vAlign w:val="bottom"/>
          </w:tcPr>
          <w:p>
            <w:pPr>
              <w:spacing w:after="0"/>
              <w:rPr>
                <w:sz w:val="10"/>
                <w:szCs w:val="10"/>
                <w:color w:val="auto"/>
              </w:rPr>
            </w:pPr>
          </w:p>
        </w:tc>
        <w:tc>
          <w:tcPr>
            <w:tcW w:w="80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6"/>
              </w:rPr>
              <w:t>Consumer</w:t>
            </w:r>
          </w:p>
        </w:tc>
        <w:tc>
          <w:tcPr>
            <w:tcW w:w="92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7"/>
              </w:rPr>
              <w:t>Commercial</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7"/>
                <w:szCs w:val="17"/>
                <w:b w:val="1"/>
                <w:bCs w:val="1"/>
                <w:color w:val="auto"/>
                <w:vertAlign w:val="superscript"/>
              </w:rPr>
              <w:t>(10)</w:t>
            </w:r>
          </w:p>
        </w:tc>
        <w:tc>
          <w:tcPr>
            <w:tcW w:w="120" w:type="dxa"/>
            <w:vAlign w:val="bottom"/>
          </w:tcPr>
          <w:p>
            <w:pPr>
              <w:spacing w:after="0"/>
              <w:rPr>
                <w:sz w:val="10"/>
                <w:szCs w:val="10"/>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2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80" w:type="dxa"/>
            <w:vAlign w:val="bottom"/>
          </w:tcPr>
          <w:p>
            <w:pPr>
              <w:spacing w:after="0"/>
              <w:rPr>
                <w:sz w:val="16"/>
                <w:szCs w:val="16"/>
                <w:color w:val="auto"/>
              </w:rPr>
            </w:pPr>
          </w:p>
        </w:tc>
        <w:tc>
          <w:tcPr>
            <w:tcW w:w="84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4"/>
                <w:szCs w:val="14"/>
                <w:b w:val="1"/>
                <w:bCs w:val="1"/>
                <w:color w:val="auto"/>
                <w:w w:val="94"/>
              </w:rPr>
              <w:t>Banking</w:t>
            </w:r>
            <w:r>
              <w:rPr>
                <w:rFonts w:ascii="Times New Roman" w:cs="Times New Roman" w:eastAsia="Times New Roman" w:hAnsi="Times New Roman"/>
                <w:sz w:val="17"/>
                <w:szCs w:val="17"/>
                <w:b w:val="1"/>
                <w:bCs w:val="1"/>
                <w:color w:val="auto"/>
                <w:w w:val="94"/>
                <w:vertAlign w:val="superscript"/>
              </w:rPr>
              <w:t>(10)</w:t>
            </w:r>
          </w:p>
        </w:tc>
        <w:tc>
          <w:tcPr>
            <w:tcW w:w="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4"/>
                <w:szCs w:val="14"/>
                <w:b w:val="1"/>
                <w:bCs w:val="1"/>
                <w:color w:val="auto"/>
                <w:w w:val="92"/>
              </w:rPr>
              <w:t>Banking</w:t>
            </w:r>
            <w:r>
              <w:rPr>
                <w:rFonts w:ascii="Times New Roman" w:cs="Times New Roman" w:eastAsia="Times New Roman" w:hAnsi="Times New Roman"/>
                <w:sz w:val="17"/>
                <w:szCs w:val="17"/>
                <w:b w:val="1"/>
                <w:bCs w:val="1"/>
                <w:color w:val="auto"/>
                <w:w w:val="92"/>
                <w:vertAlign w:val="superscript"/>
              </w:rPr>
              <w:t>(10)</w:t>
            </w: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(loss)</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9,396</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22,343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6,462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30,412</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Non-interest income (loss)</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2,211</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5,524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7,439</w:t>
            </w: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 (loss)</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11,607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37,851</w:t>
            </w:r>
          </w:p>
        </w:tc>
        <w:tc>
          <w:tcPr>
            <w:tcW w:w="0" w:type="dxa"/>
            <w:vAlign w:val="bottom"/>
          </w:tcPr>
          <w:p>
            <w:pPr>
              <w:spacing w:after="0"/>
              <w:rPr>
                <w:sz w:val="1"/>
                <w:szCs w:val="1"/>
                <w:color w:val="auto"/>
              </w:rPr>
            </w:pPr>
          </w:p>
        </w:tc>
      </w:tr>
      <w:tr>
        <w:trPr>
          <w:trHeight w:val="18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(benefit) for credit losses</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16,513</w:t>
            </w: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5,409</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1,941</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13,494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21,156</w:t>
            </w:r>
          </w:p>
        </w:tc>
        <w:tc>
          <w:tcPr>
            <w:tcW w:w="0" w:type="dxa"/>
            <w:vAlign w:val="bottom"/>
          </w:tcPr>
          <w:p>
            <w:pPr>
              <w:spacing w:after="0"/>
              <w:rPr>
                <w:sz w:val="1"/>
                <w:szCs w:val="1"/>
                <w:color w:val="auto"/>
              </w:rPr>
            </w:pPr>
          </w:p>
        </w:tc>
      </w:tr>
      <w:tr>
        <w:trPr>
          <w:trHeight w:val="113"/>
        </w:trPr>
        <w:tc>
          <w:tcPr>
            <w:tcW w:w="32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color w:val="auto"/>
              </w:rPr>
              <w:t>Income (loss) from continuing operations before</w:t>
            </w:r>
          </w:p>
        </w:tc>
        <w:tc>
          <w:tcPr>
            <w:tcW w:w="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3,834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4,382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(1,015)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1,386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998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(1,187)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0" w:type="dxa"/>
            <w:vAlign w:val="bottom"/>
          </w:tcPr>
          <w:p>
            <w:pPr>
              <w:spacing w:after="0"/>
              <w:rPr>
                <w:sz w:val="1"/>
                <w:szCs w:val="1"/>
                <w:color w:val="auto"/>
              </w:rPr>
            </w:pPr>
          </w:p>
        </w:tc>
      </w:tr>
      <w:tr>
        <w:trPr>
          <w:trHeight w:val="18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914</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0" w:type="dxa"/>
            <w:vAlign w:val="bottom"/>
          </w:tcPr>
          <w:p>
            <w:pPr>
              <w:spacing w:after="0"/>
              <w:rPr>
                <w:sz w:val="1"/>
                <w:szCs w:val="1"/>
                <w:color w:val="auto"/>
              </w:rPr>
            </w:pPr>
          </w:p>
        </w:tc>
      </w:tr>
      <w:tr>
        <w:trPr>
          <w:trHeight w:val="18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net of tax</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2,920</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3,193</w:t>
            </w:r>
          </w:p>
        </w:tc>
        <w:tc>
          <w:tcPr>
            <w:tcW w:w="10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(778)</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1,056</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761</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 2025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Credit Card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9"/>
              </w:rPr>
              <w:t>Consumer</w:t>
            </w:r>
          </w:p>
        </w:tc>
        <w:tc>
          <w:tcPr>
            <w:tcW w:w="92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7"/>
              </w:rPr>
              <w:t>Commercial</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7"/>
                <w:szCs w:val="17"/>
                <w:b w:val="1"/>
                <w:bCs w:val="1"/>
                <w:color w:val="auto"/>
                <w:vertAlign w:val="superscript"/>
              </w:rPr>
              <w:t>(10)</w:t>
            </w:r>
          </w:p>
        </w:tc>
        <w:tc>
          <w:tcPr>
            <w:tcW w:w="140" w:type="dxa"/>
            <w:vAlign w:val="bottom"/>
          </w:tcPr>
          <w:p>
            <w:pPr>
              <w:spacing w:after="0"/>
              <w:rPr>
                <w:sz w:val="10"/>
                <w:szCs w:val="10"/>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2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80" w:type="dxa"/>
            <w:vAlign w:val="bottom"/>
          </w:tcPr>
          <w:p>
            <w:pPr>
              <w:spacing w:after="0"/>
              <w:rPr>
                <w:sz w:val="16"/>
                <w:szCs w:val="16"/>
                <w:color w:val="auto"/>
              </w:rPr>
            </w:pPr>
          </w:p>
        </w:tc>
        <w:tc>
          <w:tcPr>
            <w:tcW w:w="84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4"/>
                <w:szCs w:val="14"/>
                <w:b w:val="1"/>
                <w:bCs w:val="1"/>
                <w:color w:val="auto"/>
                <w:w w:val="94"/>
              </w:rPr>
              <w:t>Banking</w:t>
            </w:r>
            <w:r>
              <w:rPr>
                <w:rFonts w:ascii="Times New Roman" w:cs="Times New Roman" w:eastAsia="Times New Roman" w:hAnsi="Times New Roman"/>
                <w:sz w:val="17"/>
                <w:szCs w:val="17"/>
                <w:b w:val="1"/>
                <w:bCs w:val="1"/>
                <w:color w:val="auto"/>
                <w:w w:val="94"/>
                <w:vertAlign w:val="superscript"/>
              </w:rPr>
              <w:t>(10)</w:t>
            </w:r>
          </w:p>
        </w:tc>
        <w:tc>
          <w:tcPr>
            <w:tcW w:w="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(loss)</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Non-interest income (loss)</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 (loss)</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(benefit) for credit losses</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32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color w:val="auto"/>
              </w:rPr>
              <w:t>Income (loss) from continuing operations before</w:t>
            </w:r>
          </w:p>
        </w:tc>
        <w:tc>
          <w:tcPr>
            <w:tcW w:w="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net of tax</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4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4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Credit Card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9"/>
              </w:rPr>
              <w:t>Consumer</w:t>
            </w:r>
          </w:p>
        </w:tc>
        <w:tc>
          <w:tcPr>
            <w:tcW w:w="92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7"/>
              </w:rPr>
              <w:t>Commercial</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7"/>
                <w:szCs w:val="17"/>
                <w:b w:val="1"/>
                <w:bCs w:val="1"/>
                <w:color w:val="auto"/>
                <w:vertAlign w:val="superscript"/>
              </w:rPr>
              <w:t>(10)</w:t>
            </w:r>
          </w:p>
        </w:tc>
        <w:tc>
          <w:tcPr>
            <w:tcW w:w="140" w:type="dxa"/>
            <w:vAlign w:val="bottom"/>
          </w:tcPr>
          <w:p>
            <w:pPr>
              <w:spacing w:after="0"/>
              <w:rPr>
                <w:sz w:val="10"/>
                <w:szCs w:val="10"/>
                <w:color w:val="auto"/>
              </w:rPr>
            </w:pPr>
          </w:p>
        </w:tc>
        <w:tc>
          <w:tcPr>
            <w:tcW w:w="5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Credit Card</w:t>
            </w:r>
          </w:p>
        </w:tc>
        <w:tc>
          <w:tcPr>
            <w:tcW w:w="80" w:type="dxa"/>
            <w:vAlign w:val="bottom"/>
          </w:tcPr>
          <w:p>
            <w:pPr>
              <w:spacing w:after="0"/>
              <w:rPr>
                <w:sz w:val="10"/>
                <w:szCs w:val="10"/>
                <w:color w:val="auto"/>
              </w:rPr>
            </w:pPr>
          </w:p>
        </w:tc>
        <w:tc>
          <w:tcPr>
            <w:tcW w:w="80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6"/>
              </w:rPr>
              <w:t>Consumer</w:t>
            </w:r>
          </w:p>
        </w:tc>
        <w:tc>
          <w:tcPr>
            <w:tcW w:w="92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7"/>
              </w:rPr>
              <w:t>Commercial</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7"/>
                <w:szCs w:val="17"/>
                <w:b w:val="1"/>
                <w:bCs w:val="1"/>
                <w:color w:val="auto"/>
                <w:vertAlign w:val="superscript"/>
              </w:rPr>
              <w:t>(10)</w:t>
            </w:r>
          </w:p>
        </w:tc>
        <w:tc>
          <w:tcPr>
            <w:tcW w:w="120" w:type="dxa"/>
            <w:vAlign w:val="bottom"/>
          </w:tcPr>
          <w:p>
            <w:pPr>
              <w:spacing w:after="0"/>
              <w:rPr>
                <w:sz w:val="10"/>
                <w:szCs w:val="10"/>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2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80" w:type="dxa"/>
            <w:vAlign w:val="bottom"/>
          </w:tcPr>
          <w:p>
            <w:pPr>
              <w:spacing w:after="0"/>
              <w:rPr>
                <w:sz w:val="16"/>
                <w:szCs w:val="16"/>
                <w:color w:val="auto"/>
              </w:rPr>
            </w:pPr>
          </w:p>
        </w:tc>
        <w:tc>
          <w:tcPr>
            <w:tcW w:w="84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4"/>
                <w:szCs w:val="14"/>
                <w:b w:val="1"/>
                <w:bCs w:val="1"/>
                <w:color w:val="auto"/>
                <w:w w:val="94"/>
              </w:rPr>
              <w:t>Banking</w:t>
            </w:r>
            <w:r>
              <w:rPr>
                <w:rFonts w:ascii="Times New Roman" w:cs="Times New Roman" w:eastAsia="Times New Roman" w:hAnsi="Times New Roman"/>
                <w:sz w:val="17"/>
                <w:szCs w:val="17"/>
                <w:b w:val="1"/>
                <w:bCs w:val="1"/>
                <w:color w:val="auto"/>
                <w:w w:val="94"/>
                <w:vertAlign w:val="superscript"/>
              </w:rPr>
              <w:t>(10)</w:t>
            </w:r>
          </w:p>
        </w:tc>
        <w:tc>
          <w:tcPr>
            <w:tcW w:w="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Banking</w:t>
            </w:r>
          </w:p>
        </w:tc>
        <w:tc>
          <w:tcPr>
            <w:tcW w:w="100" w:type="dxa"/>
            <w:vAlign w:val="bottom"/>
          </w:tcPr>
          <w:p>
            <w:pPr>
              <w:spacing w:after="0"/>
              <w:rPr>
                <w:sz w:val="16"/>
                <w:szCs w:val="16"/>
                <w:color w:val="auto"/>
              </w:rPr>
            </w:pPr>
          </w:p>
        </w:tc>
        <w:tc>
          <w:tcPr>
            <w:tcW w:w="82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4"/>
                <w:szCs w:val="14"/>
                <w:b w:val="1"/>
                <w:bCs w:val="1"/>
                <w:color w:val="auto"/>
                <w:w w:val="92"/>
              </w:rPr>
              <w:t>Banking</w:t>
            </w:r>
            <w:r>
              <w:rPr>
                <w:rFonts w:ascii="Times New Roman" w:cs="Times New Roman" w:eastAsia="Times New Roman" w:hAnsi="Times New Roman"/>
                <w:sz w:val="17"/>
                <w:szCs w:val="17"/>
                <w:b w:val="1"/>
                <w:bCs w:val="1"/>
                <w:color w:val="auto"/>
                <w:w w:val="92"/>
                <w:vertAlign w:val="superscript"/>
              </w:rPr>
              <w:t>(10)</w:t>
            </w: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(loss)</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Non-interest income (loss)</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0" w:type="dxa"/>
            <w:vAlign w:val="bottom"/>
          </w:tcPr>
          <w:p>
            <w:pPr>
              <w:spacing w:after="0"/>
              <w:rPr>
                <w:sz w:val="1"/>
                <w:szCs w:val="1"/>
                <w:color w:val="auto"/>
              </w:rPr>
            </w:pPr>
          </w:p>
        </w:tc>
      </w:tr>
      <w:tr>
        <w:trPr>
          <w:trHeight w:val="194"/>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 (loss)</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28,922</w:t>
            </w:r>
          </w:p>
        </w:tc>
        <w:tc>
          <w:tcPr>
            <w:tcW w:w="0" w:type="dxa"/>
            <w:vAlign w:val="bottom"/>
          </w:tcPr>
          <w:p>
            <w:pPr>
              <w:spacing w:after="0"/>
              <w:rPr>
                <w:sz w:val="1"/>
                <w:szCs w:val="1"/>
                <w:color w:val="auto"/>
              </w:rPr>
            </w:pPr>
          </w:p>
        </w:tc>
      </w:tr>
      <w:tr>
        <w:trPr>
          <w:trHeight w:val="18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(benefit) for credit losses</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0" w:type="dxa"/>
            <w:vAlign w:val="bottom"/>
          </w:tcPr>
          <w:p>
            <w:pPr>
              <w:spacing w:after="0"/>
              <w:rPr>
                <w:sz w:val="1"/>
                <w:szCs w:val="1"/>
                <w:color w:val="auto"/>
              </w:rPr>
            </w:pPr>
          </w:p>
        </w:tc>
      </w:tr>
      <w:tr>
        <w:trPr>
          <w:trHeight w:val="201"/>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0" w:type="dxa"/>
            <w:vAlign w:val="bottom"/>
          </w:tcPr>
          <w:p>
            <w:pPr>
              <w:spacing w:after="0"/>
              <w:rPr>
                <w:sz w:val="1"/>
                <w:szCs w:val="1"/>
                <w:color w:val="auto"/>
              </w:rPr>
            </w:pPr>
          </w:p>
        </w:tc>
      </w:tr>
      <w:tr>
        <w:trPr>
          <w:trHeight w:val="113"/>
        </w:trPr>
        <w:tc>
          <w:tcPr>
            <w:tcW w:w="32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color w:val="auto"/>
              </w:rPr>
              <w:t>Income (loss) from continuing operations before</w:t>
            </w:r>
          </w:p>
        </w:tc>
        <w:tc>
          <w:tcPr>
            <w:tcW w:w="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0" w:type="dxa"/>
            <w:vAlign w:val="bottom"/>
          </w:tcPr>
          <w:p>
            <w:pPr>
              <w:spacing w:after="0"/>
              <w:rPr>
                <w:sz w:val="1"/>
                <w:szCs w:val="1"/>
                <w:color w:val="auto"/>
              </w:rPr>
            </w:pPr>
          </w:p>
        </w:tc>
      </w:tr>
      <w:tr>
        <w:trPr>
          <w:trHeight w:val="18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8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net of tax</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20" w:top="8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10: Financial &amp; Statistical Summary—Credit Card Business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2025 Q3 vs.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0" w:type="dxa"/>
            <w:vAlign w:val="bottom"/>
          </w:tcPr>
          <w:p>
            <w:pPr>
              <w:spacing w:after="0"/>
              <w:rPr>
                <w:sz w:val="1"/>
                <w:szCs w:val="1"/>
                <w:color w:val="auto"/>
              </w:rPr>
            </w:pPr>
          </w:p>
        </w:tc>
      </w:tr>
      <w:tr>
        <w:trPr>
          <w:trHeight w:val="183"/>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16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89"/>
              </w:rPr>
              <w:t>Q2</w:t>
            </w:r>
          </w:p>
        </w:tc>
        <w:tc>
          <w:tcPr>
            <w:tcW w:w="18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89"/>
              </w:rPr>
              <w:t>Q4</w:t>
            </w:r>
          </w:p>
        </w:tc>
        <w:tc>
          <w:tcPr>
            <w:tcW w:w="160" w:type="dxa"/>
            <w:vAlign w:val="bottom"/>
          </w:tcPr>
          <w:p>
            <w:pPr>
              <w:spacing w:after="0"/>
              <w:rPr>
                <w:sz w:val="15"/>
                <w:szCs w:val="15"/>
                <w:color w:val="auto"/>
              </w:rPr>
            </w:pPr>
          </w:p>
        </w:tc>
        <w:tc>
          <w:tcPr>
            <w:tcW w:w="6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5"/>
                <w:szCs w:val="15"/>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5"/>
                <w:szCs w:val="15"/>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Credit Card</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9,396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7,293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5,654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5,779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5,743</w:t>
            </w:r>
          </w:p>
        </w:tc>
        <w:tc>
          <w:tcPr>
            <w:tcW w:w="8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22,343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16,309</w:t>
            </w:r>
          </w:p>
        </w:tc>
        <w:tc>
          <w:tcPr>
            <w:tcW w:w="8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Non-interest income</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2,211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1,802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1,511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1,585</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1,509</w:t>
            </w:r>
          </w:p>
        </w:tc>
        <w:tc>
          <w:tcPr>
            <w:tcW w:w="86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ind w:right="191"/>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5,524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4,491</w:t>
            </w:r>
          </w:p>
        </w:tc>
        <w:tc>
          <w:tcPr>
            <w:tcW w:w="80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net 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11,607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9,095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7,165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7,364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7,252</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27,867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20,800</w:t>
            </w:r>
          </w:p>
        </w:tc>
        <w:tc>
          <w:tcPr>
            <w:tcW w:w="80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9"/>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6"/>
                <w:szCs w:val="16"/>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2,364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11,098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1,926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2,384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2,084</w:t>
            </w:r>
          </w:p>
        </w:tc>
        <w:tc>
          <w:tcPr>
            <w:tcW w:w="8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15,388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7,888</w:t>
            </w:r>
          </w:p>
        </w:tc>
        <w:tc>
          <w:tcPr>
            <w:tcW w:w="8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0"/>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 expense</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5,409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4,447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3,638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3,846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3,367</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13,494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9,730</w:t>
            </w:r>
          </w:p>
        </w:tc>
        <w:tc>
          <w:tcPr>
            <w:tcW w:w="80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10"/>
        </w:trPr>
        <w:tc>
          <w:tcPr>
            <w:tcW w:w="2360" w:type="dxa"/>
            <w:vAlign w:val="bottom"/>
            <w:gridSpan w:val="2"/>
          </w:tcPr>
          <w:p>
            <w:pPr>
              <w:ind w:left="220"/>
              <w:spacing w:after="0" w:line="110" w:lineRule="exact"/>
              <w:rPr>
                <w:sz w:val="20"/>
                <w:szCs w:val="20"/>
                <w:color w:val="auto"/>
              </w:rPr>
            </w:pPr>
            <w:r>
              <w:rPr>
                <w:rFonts w:ascii="Times New Roman" w:cs="Times New Roman" w:eastAsia="Times New Roman" w:hAnsi="Times New Roman"/>
                <w:sz w:val="12"/>
                <w:szCs w:val="12"/>
                <w:color w:val="auto"/>
              </w:rPr>
              <w:t>Income (loss) from continuing</w:t>
            </w:r>
          </w:p>
        </w:tc>
        <w:tc>
          <w:tcPr>
            <w:tcW w:w="160" w:type="dxa"/>
            <w:vAlign w:val="bottom"/>
          </w:tcPr>
          <w:p>
            <w:pPr>
              <w:spacing w:after="0"/>
              <w:rPr>
                <w:sz w:val="9"/>
                <w:szCs w:val="9"/>
                <w:color w:val="auto"/>
              </w:rPr>
            </w:pPr>
          </w:p>
        </w:tc>
        <w:tc>
          <w:tcPr>
            <w:tcW w:w="6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3,834</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(6,450)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1,601</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1,134</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1,801</w:t>
            </w:r>
          </w:p>
        </w:tc>
        <w:tc>
          <w:tcPr>
            <w:tcW w:w="86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(1,015)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3,182</w:t>
            </w:r>
          </w:p>
        </w:tc>
        <w:tc>
          <w:tcPr>
            <w:tcW w:w="80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operations before income taxes</w:t>
            </w: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914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(1,533)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268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427</w:t>
            </w:r>
          </w:p>
        </w:tc>
        <w:tc>
          <w:tcPr>
            <w:tcW w:w="8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(237)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756</w:t>
            </w:r>
          </w:p>
        </w:tc>
        <w:tc>
          <w:tcPr>
            <w:tcW w:w="8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2360" w:type="dxa"/>
            <w:vAlign w:val="bottom"/>
            <w:gridSpan w:val="2"/>
          </w:tcPr>
          <w:p>
            <w:pPr>
              <w:ind w:left="220"/>
              <w:spacing w:after="0" w:line="110" w:lineRule="exact"/>
              <w:rPr>
                <w:sz w:val="20"/>
                <w:szCs w:val="20"/>
                <w:color w:val="auto"/>
              </w:rPr>
            </w:pPr>
            <w:r>
              <w:rPr>
                <w:rFonts w:ascii="Times New Roman" w:cs="Times New Roman" w:eastAsia="Times New Roman" w:hAnsi="Times New Roman"/>
                <w:sz w:val="12"/>
                <w:szCs w:val="12"/>
                <w:color w:val="auto"/>
              </w:rPr>
              <w:t>Income (loss) from continuing</w:t>
            </w: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2,920</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(4,917)</w:t>
            </w:r>
          </w:p>
        </w:tc>
        <w:tc>
          <w:tcPr>
            <w:tcW w:w="80" w:type="dxa"/>
            <w:vAlign w:val="bottom"/>
          </w:tcPr>
          <w:p>
            <w:pPr>
              <w:spacing w:after="0"/>
              <w:rPr>
                <w:sz w:val="9"/>
                <w:szCs w:val="9"/>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1,219</w:t>
            </w:r>
          </w:p>
        </w:tc>
        <w:tc>
          <w:tcPr>
            <w:tcW w:w="14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866</w:t>
            </w:r>
          </w:p>
        </w:tc>
        <w:tc>
          <w:tcPr>
            <w:tcW w:w="14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1,374</w:t>
            </w:r>
          </w:p>
        </w:tc>
        <w:tc>
          <w:tcPr>
            <w:tcW w:w="86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(778)</w:t>
            </w:r>
          </w:p>
        </w:tc>
        <w:tc>
          <w:tcPr>
            <w:tcW w:w="80" w:type="dxa"/>
            <w:vAlign w:val="bottom"/>
          </w:tcPr>
          <w:p>
            <w:pPr>
              <w:spacing w:after="0"/>
              <w:rPr>
                <w:sz w:val="9"/>
                <w:szCs w:val="9"/>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2,426</w:t>
            </w:r>
          </w:p>
        </w:tc>
        <w:tc>
          <w:tcPr>
            <w:tcW w:w="80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operations, net of tax</w:t>
            </w:r>
          </w:p>
        </w:tc>
        <w:tc>
          <w:tcPr>
            <w:tcW w:w="1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performance metrics: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36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4"/>
                <w:szCs w:val="14"/>
                <w:color w:val="auto"/>
              </w:rPr>
              <w:t>Period-end loans held for</w:t>
            </w: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271,037</w:t>
            </w:r>
          </w:p>
        </w:tc>
        <w:tc>
          <w:tcPr>
            <w:tcW w:w="80" w:type="dxa"/>
            <w:vAlign w:val="bottom"/>
          </w:tcPr>
          <w:p>
            <w:pPr>
              <w:spacing w:after="0"/>
              <w:rPr>
                <w:sz w:val="11"/>
                <w:szCs w:val="11"/>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269,709</w:t>
            </w:r>
          </w:p>
        </w:tc>
        <w:tc>
          <w:tcPr>
            <w:tcW w:w="80" w:type="dxa"/>
            <w:vAlign w:val="bottom"/>
          </w:tcPr>
          <w:p>
            <w:pPr>
              <w:spacing w:after="0"/>
              <w:rPr>
                <w:sz w:val="11"/>
                <w:szCs w:val="11"/>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157,189</w:t>
            </w:r>
          </w:p>
        </w:tc>
        <w:tc>
          <w:tcPr>
            <w:tcW w:w="140" w:type="dxa"/>
            <w:vAlign w:val="bottom"/>
          </w:tcPr>
          <w:p>
            <w:pPr>
              <w:spacing w:after="0"/>
              <w:rPr>
                <w:sz w:val="11"/>
                <w:szCs w:val="11"/>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162,508</w:t>
            </w:r>
          </w:p>
        </w:tc>
        <w:tc>
          <w:tcPr>
            <w:tcW w:w="140" w:type="dxa"/>
            <w:vAlign w:val="bottom"/>
          </w:tcPr>
          <w:p>
            <w:pPr>
              <w:spacing w:after="0"/>
              <w:rPr>
                <w:sz w:val="11"/>
                <w:szCs w:val="11"/>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156,651</w:t>
            </w:r>
          </w:p>
        </w:tc>
        <w:tc>
          <w:tcPr>
            <w:tcW w:w="80" w:type="dxa"/>
            <w:vAlign w:val="bottom"/>
          </w:tcPr>
          <w:p>
            <w:pPr>
              <w:spacing w:after="0"/>
              <w:rPr>
                <w:sz w:val="11"/>
                <w:szCs w:val="11"/>
                <w:color w:val="auto"/>
              </w:rPr>
            </w:pPr>
          </w:p>
        </w:tc>
        <w:tc>
          <w:tcPr>
            <w:tcW w:w="120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271,037</w:t>
            </w:r>
          </w:p>
        </w:tc>
        <w:tc>
          <w:tcPr>
            <w:tcW w:w="80" w:type="dxa"/>
            <w:vAlign w:val="bottom"/>
          </w:tcPr>
          <w:p>
            <w:pPr>
              <w:spacing w:after="0"/>
              <w:rPr>
                <w:sz w:val="11"/>
                <w:szCs w:val="11"/>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156,651</w:t>
            </w:r>
          </w:p>
        </w:tc>
        <w:tc>
          <w:tcPr>
            <w:tcW w:w="80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8"/>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investment</w:t>
            </w: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269,175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209,693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156,407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157,326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153,972</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212,172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151,371</w:t>
            </w:r>
          </w:p>
        </w:tc>
        <w:tc>
          <w:tcPr>
            <w:tcW w:w="80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30"/>
        </w:trPr>
        <w:tc>
          <w:tcPr>
            <w:tcW w:w="236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4"/>
                <w:szCs w:val="14"/>
                <w:color w:val="auto"/>
              </w:rPr>
              <w:t>Average yield on loans</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17.99%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80" w:type="dxa"/>
            <w:vAlign w:val="bottom"/>
          </w:tcPr>
          <w:p>
            <w:pPr>
              <w:spacing w:after="0"/>
              <w:rPr>
                <w:sz w:val="11"/>
                <w:szCs w:val="11"/>
                <w:color w:val="auto"/>
              </w:rPr>
            </w:pPr>
          </w:p>
        </w:tc>
        <w:tc>
          <w:tcPr>
            <w:tcW w:w="1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5 bps</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(167)bps</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18.08%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(102)bps</w:t>
            </w:r>
          </w:p>
        </w:tc>
        <w:tc>
          <w:tcPr>
            <w:tcW w:w="0" w:type="dxa"/>
            <w:vAlign w:val="bottom"/>
          </w:tcPr>
          <w:p>
            <w:pPr>
              <w:spacing w:after="0"/>
              <w:rPr>
                <w:sz w:val="1"/>
                <w:szCs w:val="1"/>
                <w:color w:val="auto"/>
              </w:rPr>
            </w:pPr>
          </w:p>
        </w:tc>
      </w:tr>
      <w:tr>
        <w:trPr>
          <w:trHeight w:val="188"/>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outstanding</w:t>
            </w:r>
            <w:r>
              <w:rPr>
                <w:rFonts w:ascii="Times New Roman" w:cs="Times New Roman" w:eastAsia="Times New Roman" w:hAnsi="Times New Roman"/>
                <w:sz w:val="8"/>
                <w:szCs w:val="8"/>
                <w:color w:val="auto"/>
              </w:rPr>
              <w:t>(1)</w:t>
            </w: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net revenue margin</w:t>
            </w:r>
            <w:r>
              <w:rPr>
                <w:rFonts w:ascii="Times New Roman" w:cs="Times New Roman" w:eastAsia="Times New Roman" w:hAnsi="Times New Roman"/>
                <w:sz w:val="17"/>
                <w:szCs w:val="17"/>
                <w:color w:val="auto"/>
                <w:vertAlign w:val="superscript"/>
              </w:rPr>
              <w:t>(11)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17.25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18.32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18.72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18.82</w:t>
            </w:r>
          </w:p>
        </w:tc>
        <w:tc>
          <w:tcPr>
            <w:tcW w:w="8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92"/>
              </w:rPr>
              <w:t>(157)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17.51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18.28</w:t>
            </w:r>
          </w:p>
        </w:tc>
        <w:tc>
          <w:tcPr>
            <w:tcW w:w="8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4"/>
        </w:trPr>
        <w:tc>
          <w:tcPr>
            <w:tcW w:w="236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Net charge-off (recovery) rate</w:t>
            </w:r>
            <w:r>
              <w:rPr>
                <w:rFonts w:ascii="Times New Roman" w:cs="Times New Roman" w:eastAsia="Times New Roman" w:hAnsi="Times New Roman"/>
                <w:sz w:val="17"/>
                <w:szCs w:val="17"/>
                <w:color w:val="auto"/>
                <w:vertAlign w:val="superscript"/>
              </w:rPr>
              <w:t>(3)</w:t>
            </w:r>
          </w:p>
        </w:tc>
        <w:tc>
          <w:tcPr>
            <w:tcW w:w="160" w:type="dxa"/>
            <w:vAlign w:val="bottom"/>
          </w:tcPr>
          <w:p>
            <w:pPr>
              <w:spacing w:after="0"/>
              <w:rPr>
                <w:sz w:val="16"/>
                <w:szCs w:val="16"/>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4.61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6.14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6.02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5.60</w:t>
            </w:r>
          </w:p>
        </w:tc>
        <w:tc>
          <w:tcPr>
            <w:tcW w:w="8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5.83</w:t>
            </w:r>
          </w:p>
        </w:tc>
        <w:tc>
          <w:tcPr>
            <w:tcW w:w="8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30"/>
        </w:trPr>
        <w:tc>
          <w:tcPr>
            <w:tcW w:w="2360" w:type="dxa"/>
            <w:vAlign w:val="bottom"/>
            <w:gridSpan w:val="2"/>
            <w:shd w:val="clear" w:color="auto" w:fill="CCEEFF"/>
          </w:tcPr>
          <w:p>
            <w:pPr>
              <w:ind w:left="220"/>
              <w:spacing w:after="0" w:line="130" w:lineRule="exact"/>
              <w:rPr>
                <w:sz w:val="20"/>
                <w:szCs w:val="20"/>
                <w:color w:val="auto"/>
              </w:rPr>
            </w:pPr>
            <w:r>
              <w:rPr>
                <w:rFonts w:ascii="Times New Roman" w:cs="Times New Roman" w:eastAsia="Times New Roman" w:hAnsi="Times New Roman"/>
                <w:sz w:val="14"/>
                <w:szCs w:val="14"/>
                <w:color w:val="auto"/>
              </w:rPr>
              <w:t>30+ day performing delinquency</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3.84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4.53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4.53</w:t>
            </w:r>
          </w:p>
        </w:tc>
        <w:tc>
          <w:tcPr>
            <w:tcW w:w="860" w:type="dxa"/>
            <w:vAlign w:val="bottom"/>
            <w:gridSpan w:val="2"/>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3.84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4.53</w:t>
            </w:r>
          </w:p>
        </w:tc>
        <w:tc>
          <w:tcPr>
            <w:tcW w:w="800" w:type="dxa"/>
            <w:vAlign w:val="bottom"/>
            <w:gridSpan w:val="2"/>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4"/>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rate</w:t>
            </w: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30+ day delinquency rate</w:t>
            </w:r>
          </w:p>
        </w:tc>
        <w:tc>
          <w:tcPr>
            <w:tcW w:w="160" w:type="dxa"/>
            <w:vAlign w:val="bottom"/>
          </w:tcPr>
          <w:p>
            <w:pPr>
              <w:spacing w:after="0"/>
              <w:rPr>
                <w:sz w:val="16"/>
                <w:szCs w:val="16"/>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4.27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4.54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4.54</w:t>
            </w:r>
          </w:p>
        </w:tc>
        <w:tc>
          <w:tcPr>
            <w:tcW w:w="86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4.54</w:t>
            </w:r>
          </w:p>
        </w:tc>
        <w:tc>
          <w:tcPr>
            <w:tcW w:w="8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0"/>
        </w:trPr>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Nonperforming loan rate</w:t>
            </w:r>
            <w:r>
              <w:rPr>
                <w:rFonts w:ascii="Times New Roman" w:cs="Times New Roman" w:eastAsia="Times New Roman" w:hAnsi="Times New Roman"/>
                <w:sz w:val="17"/>
                <w:szCs w:val="17"/>
                <w:color w:val="auto"/>
                <w:vertAlign w:val="superscript"/>
              </w:rPr>
              <w:t>(5)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0.01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6"/>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Purchase volume</w:t>
            </w:r>
            <w:r>
              <w:rPr>
                <w:rFonts w:ascii="Times New Roman" w:cs="Times New Roman" w:eastAsia="Times New Roman" w:hAnsi="Times New Roman"/>
                <w:sz w:val="17"/>
                <w:szCs w:val="17"/>
                <w:color w:val="auto"/>
                <w:vertAlign w:val="superscript"/>
              </w:rPr>
              <w:t>(12)</w:t>
            </w: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230,379</w:t>
            </w:r>
          </w:p>
        </w:tc>
        <w:tc>
          <w:tcPr>
            <w:tcW w:w="80" w:type="dxa"/>
            <w:vAlign w:val="bottom"/>
          </w:tcPr>
          <w:p>
            <w:pPr>
              <w:spacing w:after="0"/>
              <w:rPr>
                <w:sz w:val="20"/>
                <w:szCs w:val="20"/>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201,453</w:t>
            </w:r>
          </w:p>
        </w:tc>
        <w:tc>
          <w:tcPr>
            <w:tcW w:w="80" w:type="dxa"/>
            <w:vAlign w:val="bottom"/>
          </w:tcPr>
          <w:p>
            <w:pPr>
              <w:spacing w:after="0"/>
              <w:rPr>
                <w:sz w:val="20"/>
                <w:szCs w:val="20"/>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157,948</w:t>
            </w:r>
          </w:p>
        </w:tc>
        <w:tc>
          <w:tcPr>
            <w:tcW w:w="140" w:type="dxa"/>
            <w:vAlign w:val="bottom"/>
          </w:tcPr>
          <w:p>
            <w:pPr>
              <w:spacing w:after="0"/>
              <w:rPr>
                <w:sz w:val="20"/>
                <w:szCs w:val="20"/>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172,919</w:t>
            </w:r>
          </w:p>
        </w:tc>
        <w:tc>
          <w:tcPr>
            <w:tcW w:w="140" w:type="dxa"/>
            <w:vAlign w:val="bottom"/>
          </w:tcPr>
          <w:p>
            <w:pPr>
              <w:spacing w:after="0"/>
              <w:rPr>
                <w:sz w:val="20"/>
                <w:szCs w:val="20"/>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166,203</w:t>
            </w:r>
          </w:p>
        </w:tc>
        <w:tc>
          <w:tcPr>
            <w:tcW w:w="86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589,780</w:t>
            </w:r>
          </w:p>
        </w:tc>
        <w:tc>
          <w:tcPr>
            <w:tcW w:w="80" w:type="dxa"/>
            <w:vAlign w:val="bottom"/>
          </w:tcPr>
          <w:p>
            <w:pPr>
              <w:spacing w:after="0"/>
              <w:rPr>
                <w:sz w:val="20"/>
                <w:szCs w:val="20"/>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481,517</w:t>
            </w:r>
          </w:p>
        </w:tc>
        <w:tc>
          <w:tcPr>
            <w:tcW w:w="8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817"/>
        </w:trPr>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2025 Q3 vs.</w:t>
            </w:r>
          </w:p>
        </w:tc>
        <w:tc>
          <w:tcPr>
            <w:tcW w:w="160" w:type="dxa"/>
            <w:vAlign w:val="bottom"/>
          </w:tcPr>
          <w:p>
            <w:pPr>
              <w:spacing w:after="0"/>
              <w:rPr>
                <w:sz w:val="15"/>
                <w:szCs w:val="15"/>
                <w:color w:val="auto"/>
              </w:rPr>
            </w:pP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0" w:type="dxa"/>
            <w:vAlign w:val="bottom"/>
          </w:tcPr>
          <w:p>
            <w:pPr>
              <w:spacing w:after="0"/>
              <w:rPr>
                <w:sz w:val="1"/>
                <w:szCs w:val="1"/>
                <w:color w:val="auto"/>
              </w:rPr>
            </w:pPr>
          </w:p>
        </w:tc>
      </w:tr>
      <w:tr>
        <w:trPr>
          <w:trHeight w:val="18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180" w:type="dxa"/>
            <w:vAlign w:val="bottom"/>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Q1</w:t>
            </w:r>
          </w:p>
        </w:tc>
        <w:tc>
          <w:tcPr>
            <w:tcW w:w="18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Q4</w:t>
            </w:r>
          </w:p>
        </w:tc>
        <w:tc>
          <w:tcPr>
            <w:tcW w:w="160" w:type="dxa"/>
            <w:vAlign w:val="bottom"/>
          </w:tcPr>
          <w:p>
            <w:pPr>
              <w:spacing w:after="0"/>
              <w:rPr>
                <w:sz w:val="15"/>
                <w:szCs w:val="15"/>
                <w:color w:val="auto"/>
              </w:rPr>
            </w:pPr>
          </w:p>
        </w:tc>
        <w:tc>
          <w:tcPr>
            <w:tcW w:w="6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5"/>
                <w:szCs w:val="15"/>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Domestic Card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8,766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6,822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5,343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5,474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5,434</w:t>
            </w:r>
          </w:p>
        </w:tc>
        <w:tc>
          <w:tcPr>
            <w:tcW w:w="8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20,931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15,407</w:t>
            </w:r>
          </w:p>
        </w:tc>
        <w:tc>
          <w:tcPr>
            <w:tcW w:w="8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2,160</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1,460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1,522</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1,438</w:t>
            </w:r>
          </w:p>
        </w:tc>
        <w:tc>
          <w:tcPr>
            <w:tcW w:w="88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center"/>
              <w:ind w:left="31"/>
              <w:spacing w:after="0"/>
              <w:rPr>
                <w:sz w:val="20"/>
                <w:szCs w:val="20"/>
                <w:color w:val="auto"/>
              </w:rPr>
            </w:pPr>
            <w:r>
              <w:rPr>
                <w:rFonts w:ascii="Times New Roman" w:cs="Times New Roman" w:eastAsia="Times New Roman" w:hAnsi="Times New Roman"/>
                <w:sz w:val="14"/>
                <w:szCs w:val="14"/>
                <w:color w:val="auto"/>
                <w:w w:val="85"/>
              </w:rPr>
              <w:t>50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5,369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4,289</w:t>
            </w:r>
          </w:p>
        </w:tc>
        <w:tc>
          <w:tcPr>
            <w:tcW w:w="82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net revenue</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10,926</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8,571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6,803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6,996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6,872</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85"/>
              </w:rPr>
              <w:t>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26,300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19,696</w:t>
            </w:r>
          </w:p>
        </w:tc>
        <w:tc>
          <w:tcPr>
            <w:tcW w:w="82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tcPr>
          <w:p>
            <w:pPr>
              <w:spacing w:after="0"/>
              <w:rPr>
                <w:sz w:val="16"/>
                <w:szCs w:val="16"/>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2,163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10,200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2,278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1,997</w:t>
            </w:r>
          </w:p>
        </w:tc>
        <w:tc>
          <w:tcPr>
            <w:tcW w:w="88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14,219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7,589</w:t>
            </w:r>
          </w:p>
        </w:tc>
        <w:tc>
          <w:tcPr>
            <w:tcW w:w="8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0"/>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5,092</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4,192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3,422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3,607</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3,149</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85"/>
              </w:rPr>
              <w:t>62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12,706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9,120</w:t>
            </w:r>
          </w:p>
        </w:tc>
        <w:tc>
          <w:tcPr>
            <w:tcW w:w="82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10"/>
        </w:trPr>
        <w:tc>
          <w:tcPr>
            <w:tcW w:w="2420" w:type="dxa"/>
            <w:vAlign w:val="bottom"/>
            <w:gridSpan w:val="2"/>
          </w:tcPr>
          <w:p>
            <w:pPr>
              <w:ind w:left="220"/>
              <w:spacing w:after="0" w:line="110" w:lineRule="exact"/>
              <w:rPr>
                <w:sz w:val="20"/>
                <w:szCs w:val="20"/>
                <w:color w:val="auto"/>
              </w:rPr>
            </w:pPr>
            <w:r>
              <w:rPr>
                <w:rFonts w:ascii="Times New Roman" w:cs="Times New Roman" w:eastAsia="Times New Roman" w:hAnsi="Times New Roman"/>
                <w:sz w:val="12"/>
                <w:szCs w:val="12"/>
                <w:color w:val="auto"/>
              </w:rPr>
              <w:t>Income (loss) from continuing</w:t>
            </w:r>
          </w:p>
        </w:tc>
        <w:tc>
          <w:tcPr>
            <w:tcW w:w="180" w:type="dxa"/>
            <w:vAlign w:val="bottom"/>
          </w:tcPr>
          <w:p>
            <w:pPr>
              <w:spacing w:after="0"/>
              <w:rPr>
                <w:sz w:val="9"/>
                <w:szCs w:val="9"/>
                <w:color w:val="auto"/>
              </w:rPr>
            </w:pPr>
          </w:p>
        </w:tc>
        <w:tc>
          <w:tcPr>
            <w:tcW w:w="6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3,671</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(5,821)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1,111</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1,726</w:t>
            </w:r>
          </w:p>
        </w:tc>
        <w:tc>
          <w:tcPr>
            <w:tcW w:w="880" w:type="dxa"/>
            <w:vAlign w:val="bottom"/>
            <w:gridSpan w:val="2"/>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74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color w:val="auto"/>
                <w:w w:val="95"/>
              </w:rPr>
              <w:t>113</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(625)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2,987</w:t>
            </w:r>
          </w:p>
        </w:tc>
        <w:tc>
          <w:tcPr>
            <w:tcW w:w="8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operations before income taxes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873</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(1,385)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407</w:t>
            </w:r>
          </w:p>
        </w:tc>
        <w:tc>
          <w:tcPr>
            <w:tcW w:w="8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5"/>
              </w:rPr>
              <w:t>114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(149)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705</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2420" w:type="dxa"/>
            <w:vAlign w:val="bottom"/>
            <w:gridSpan w:val="2"/>
          </w:tcPr>
          <w:p>
            <w:pPr>
              <w:ind w:left="220"/>
              <w:spacing w:after="0" w:line="110" w:lineRule="exact"/>
              <w:rPr>
                <w:sz w:val="20"/>
                <w:szCs w:val="20"/>
                <w:color w:val="auto"/>
              </w:rPr>
            </w:pPr>
            <w:r>
              <w:rPr>
                <w:rFonts w:ascii="Times New Roman" w:cs="Times New Roman" w:eastAsia="Times New Roman" w:hAnsi="Times New Roman"/>
                <w:sz w:val="12"/>
                <w:szCs w:val="12"/>
                <w:color w:val="auto"/>
              </w:rPr>
              <w:t>Income (loss) from continuing</w:t>
            </w:r>
          </w:p>
        </w:tc>
        <w:tc>
          <w:tcPr>
            <w:tcW w:w="1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2,798</w:t>
            </w:r>
          </w:p>
        </w:tc>
        <w:tc>
          <w:tcPr>
            <w:tcW w:w="60" w:type="dxa"/>
            <w:vAlign w:val="bottom"/>
          </w:tcPr>
          <w:p>
            <w:pPr>
              <w:spacing w:after="0"/>
              <w:rPr>
                <w:sz w:val="9"/>
                <w:szCs w:val="9"/>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(4,436)</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spacing w:after="0"/>
              <w:rPr>
                <w:sz w:val="9"/>
                <w:szCs w:val="9"/>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849</w:t>
            </w:r>
          </w:p>
        </w:tc>
        <w:tc>
          <w:tcPr>
            <w:tcW w:w="14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1,319</w:t>
            </w:r>
          </w:p>
        </w:tc>
        <w:tc>
          <w:tcPr>
            <w:tcW w:w="880" w:type="dxa"/>
            <w:vAlign w:val="bottom"/>
            <w:gridSpan w:val="2"/>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74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color w:val="auto"/>
                <w:w w:val="95"/>
              </w:rPr>
              <w:t>112</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(476)</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2,282</w:t>
            </w:r>
          </w:p>
        </w:tc>
        <w:tc>
          <w:tcPr>
            <w:tcW w:w="8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operations, net of tax</w:t>
            </w:r>
          </w:p>
        </w:tc>
        <w:tc>
          <w:tcPr>
            <w:tcW w:w="1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performance metrics: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Period-end loans held for investment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253,951</w:t>
            </w:r>
          </w:p>
        </w:tc>
        <w:tc>
          <w:tcPr>
            <w:tcW w:w="6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252,481</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150,309</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155,618</w:t>
            </w:r>
          </w:p>
        </w:tc>
        <w:tc>
          <w:tcPr>
            <w:tcW w:w="14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149,400</w:t>
            </w:r>
          </w:p>
        </w:tc>
        <w:tc>
          <w:tcPr>
            <w:tcW w:w="8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85"/>
              </w:rPr>
              <w:t>70</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253,951</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149,400</w:t>
            </w:r>
          </w:p>
        </w:tc>
        <w:tc>
          <w:tcPr>
            <w:tcW w:w="82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0"/>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252,090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197,808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149,639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150,290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147,021</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85"/>
              </w:rPr>
              <w:t>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200,221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144,560</w:t>
            </w:r>
          </w:p>
        </w:tc>
        <w:tc>
          <w:tcPr>
            <w:tcW w:w="82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4"/>
        </w:trPr>
        <w:tc>
          <w:tcPr>
            <w:tcW w:w="242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Average yield on loans outstanding</w:t>
            </w:r>
            <w:r>
              <w:rPr>
                <w:rFonts w:ascii="Times New Roman" w:cs="Times New Roman" w:eastAsia="Times New Roman" w:hAnsi="Times New Roman"/>
                <w:sz w:val="17"/>
                <w:szCs w:val="17"/>
                <w:color w:val="auto"/>
                <w:vertAlign w:val="superscript"/>
              </w:rPr>
              <w:t>(1)</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80" w:type="dxa"/>
            <w:vAlign w:val="bottom"/>
          </w:tcPr>
          <w:p>
            <w:pPr>
              <w:spacing w:after="0"/>
              <w:rPr>
                <w:sz w:val="16"/>
                <w:szCs w:val="16"/>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11 bps</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(163)bps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(101)bps</w:t>
            </w: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220"/>
              <w:spacing w:after="0" w:line="194" w:lineRule="exact"/>
              <w:rPr>
                <w:sz w:val="20"/>
                <w:szCs w:val="20"/>
                <w:color w:val="auto"/>
              </w:rPr>
            </w:pPr>
            <w:r>
              <w:rPr>
                <w:rFonts w:ascii="Times New Roman" w:cs="Times New Roman" w:eastAsia="Times New Roman" w:hAnsi="Times New Roman"/>
                <w:sz w:val="14"/>
                <w:szCs w:val="14"/>
                <w:color w:val="auto"/>
              </w:rPr>
              <w:t>Total net revenue margin</w:t>
            </w:r>
            <w:r>
              <w:rPr>
                <w:rFonts w:ascii="Times New Roman" w:cs="Times New Roman" w:eastAsia="Times New Roman" w:hAnsi="Times New Roman"/>
                <w:sz w:val="17"/>
                <w:szCs w:val="17"/>
                <w:color w:val="auto"/>
                <w:vertAlign w:val="superscript"/>
              </w:rPr>
              <w:t>(11)</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17.34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18.19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18.62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18.67</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17.51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18.12</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4"/>
        </w:trPr>
        <w:tc>
          <w:tcPr>
            <w:tcW w:w="242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Net charge-off (recovery) rate</w:t>
            </w:r>
            <w:r>
              <w:rPr>
                <w:rFonts w:ascii="Times New Roman" w:cs="Times New Roman" w:eastAsia="Times New Roman" w:hAnsi="Times New Roman"/>
                <w:sz w:val="17"/>
                <w:szCs w:val="17"/>
                <w:color w:val="auto"/>
                <w:vertAlign w:val="superscript"/>
              </w:rPr>
              <w:t>(4)</w:t>
            </w:r>
          </w:p>
        </w:tc>
        <w:tc>
          <w:tcPr>
            <w:tcW w:w="180" w:type="dxa"/>
            <w:vAlign w:val="bottom"/>
          </w:tcPr>
          <w:p>
            <w:pPr>
              <w:spacing w:after="0"/>
              <w:rPr>
                <w:sz w:val="16"/>
                <w:szCs w:val="16"/>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4.63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6.06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5.61</w:t>
            </w:r>
          </w:p>
        </w:tc>
        <w:tc>
          <w:tcPr>
            <w:tcW w:w="88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5.21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5.86</w:t>
            </w:r>
          </w:p>
        </w:tc>
        <w:tc>
          <w:tcPr>
            <w:tcW w:w="8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 day performing delinquency rate</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3.89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4.53</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4.53</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4"/>
        </w:trPr>
        <w:tc>
          <w:tcPr>
            <w:tcW w:w="242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Purchase volume</w:t>
            </w:r>
            <w:r>
              <w:rPr>
                <w:rFonts w:ascii="Times New Roman" w:cs="Times New Roman" w:eastAsia="Times New Roman" w:hAnsi="Times New Roman"/>
                <w:sz w:val="17"/>
                <w:szCs w:val="17"/>
                <w:color w:val="auto"/>
                <w:vertAlign w:val="superscript"/>
              </w:rPr>
              <w:t>(12)</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226,147</w:t>
            </w:r>
          </w:p>
        </w:tc>
        <w:tc>
          <w:tcPr>
            <w:tcW w:w="6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197,308</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154,391</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168,994</w:t>
            </w:r>
          </w:p>
        </w:tc>
        <w:tc>
          <w:tcPr>
            <w:tcW w:w="14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162,281</w:t>
            </w:r>
          </w:p>
        </w:tc>
        <w:tc>
          <w:tcPr>
            <w:tcW w:w="88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577,846</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470,347</w:t>
            </w:r>
          </w:p>
        </w:tc>
        <w:tc>
          <w:tcPr>
            <w:tcW w:w="8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Refreshed FICO scores:</w:t>
            </w:r>
            <w:r>
              <w:rPr>
                <w:rFonts w:ascii="Times New Roman" w:cs="Times New Roman" w:eastAsia="Times New Roman" w:hAnsi="Times New Roman"/>
                <w:sz w:val="17"/>
                <w:szCs w:val="17"/>
                <w:b w:val="1"/>
                <w:bCs w:val="1"/>
                <w:color w:val="auto"/>
                <w:vertAlign w:val="superscript"/>
              </w:rPr>
              <w:t>(13)</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Greater than 660</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2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660 or below</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27</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20" w:top="10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11: Financial &amp; Statistical Summary—Consumer Banking Business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5"/>
              </w:rPr>
              <w:t>2025 Q3 vs.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0" w:type="dxa"/>
            <w:vAlign w:val="bottom"/>
          </w:tcPr>
          <w:p>
            <w:pPr>
              <w:spacing w:after="0"/>
              <w:rPr>
                <w:sz w:val="1"/>
                <w:szCs w:val="1"/>
                <w:color w:val="auto"/>
              </w:rPr>
            </w:pPr>
          </w:p>
        </w:tc>
      </w:tr>
      <w:tr>
        <w:trPr>
          <w:trHeight w:val="18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18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9"/>
              </w:rPr>
              <w:t>Q3</w:t>
            </w:r>
          </w:p>
        </w:tc>
        <w:tc>
          <w:tcPr>
            <w:tcW w:w="140" w:type="dxa"/>
            <w:vAlign w:val="bottom"/>
          </w:tcPr>
          <w:p>
            <w:pPr>
              <w:spacing w:after="0"/>
              <w:rPr>
                <w:sz w:val="15"/>
                <w:szCs w:val="15"/>
                <w:color w:val="auto"/>
              </w:rPr>
            </w:pPr>
          </w:p>
        </w:tc>
        <w:tc>
          <w:tcPr>
            <w:tcW w:w="9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9"/>
              </w:rPr>
              <w:t>Q4</w:t>
            </w:r>
          </w:p>
        </w:tc>
        <w:tc>
          <w:tcPr>
            <w:tcW w:w="140" w:type="dxa"/>
            <w:vAlign w:val="bottom"/>
          </w:tcPr>
          <w:p>
            <w:pPr>
              <w:spacing w:after="0"/>
              <w:rPr>
                <w:sz w:val="15"/>
                <w:szCs w:val="15"/>
                <w:color w:val="auto"/>
              </w:rPr>
            </w:pPr>
          </w:p>
        </w:tc>
        <w:tc>
          <w:tcPr>
            <w:tcW w:w="6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5"/>
                <w:szCs w:val="15"/>
                <w:color w:val="auto"/>
              </w:rPr>
            </w:pPr>
          </w:p>
        </w:tc>
        <w:tc>
          <w:tcPr>
            <w:tcW w:w="11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5"/>
                <w:szCs w:val="15"/>
                <w:color w:val="auto"/>
              </w:rPr>
            </w:pPr>
          </w:p>
        </w:tc>
        <w:tc>
          <w:tcPr>
            <w:tcW w:w="6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Banking</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2,357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2,162</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1,959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2,028</w:t>
            </w:r>
          </w:p>
        </w:tc>
        <w:tc>
          <w:tcPr>
            <w:tcW w:w="8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6,462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6,064</w:t>
            </w:r>
          </w:p>
        </w:tc>
        <w:tc>
          <w:tcPr>
            <w:tcW w:w="8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2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475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394</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182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182</w:t>
            </w:r>
          </w:p>
        </w:tc>
        <w:tc>
          <w:tcPr>
            <w:tcW w:w="86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ind w:right="191"/>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1,052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513</w:t>
            </w:r>
          </w:p>
        </w:tc>
        <w:tc>
          <w:tcPr>
            <w:tcW w:w="86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3"/>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net revenue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2,832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2,556</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2,141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2,210</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7,514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6,577</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252</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328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351</w:t>
            </w:r>
          </w:p>
        </w:tc>
        <w:tc>
          <w:tcPr>
            <w:tcW w:w="86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893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1,107</w:t>
            </w:r>
          </w:p>
        </w:tc>
        <w:tc>
          <w:tcPr>
            <w:tcW w:w="8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0"/>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1,941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1,713</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1,581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1,545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1,331</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5,235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3,827</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10"/>
        </w:trPr>
        <w:tc>
          <w:tcPr>
            <w:tcW w:w="2260" w:type="dxa"/>
            <w:vAlign w:val="bottom"/>
            <w:gridSpan w:val="2"/>
          </w:tcPr>
          <w:p>
            <w:pPr>
              <w:ind w:left="220"/>
              <w:spacing w:after="0" w:line="110" w:lineRule="exact"/>
              <w:rPr>
                <w:sz w:val="20"/>
                <w:szCs w:val="20"/>
                <w:color w:val="auto"/>
              </w:rPr>
            </w:pPr>
            <w:r>
              <w:rPr>
                <w:rFonts w:ascii="Times New Roman" w:cs="Times New Roman" w:eastAsia="Times New Roman" w:hAnsi="Times New Roman"/>
                <w:sz w:val="12"/>
                <w:szCs w:val="12"/>
                <w:color w:val="auto"/>
              </w:rPr>
              <w:t>Income from continuing</w:t>
            </w:r>
          </w:p>
        </w:tc>
        <w:tc>
          <w:tcPr>
            <w:tcW w:w="180" w:type="dxa"/>
            <w:vAlign w:val="bottom"/>
          </w:tcPr>
          <w:p>
            <w:pPr>
              <w:spacing w:after="0"/>
              <w:rPr>
                <w:sz w:val="9"/>
                <w:szCs w:val="9"/>
                <w:color w:val="auto"/>
              </w:rPr>
            </w:pP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551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591</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268</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528</w:t>
            </w:r>
          </w:p>
        </w:tc>
        <w:tc>
          <w:tcPr>
            <w:tcW w:w="86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1,386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1,643</w:t>
            </w:r>
          </w:p>
        </w:tc>
        <w:tc>
          <w:tcPr>
            <w:tcW w:w="86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8"/>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operations before income taxes</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provision</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131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141</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125</w:t>
            </w:r>
          </w:p>
        </w:tc>
        <w:tc>
          <w:tcPr>
            <w:tcW w:w="8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330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388</w:t>
            </w:r>
          </w:p>
        </w:tc>
        <w:tc>
          <w:tcPr>
            <w:tcW w:w="8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10"/>
        </w:trPr>
        <w:tc>
          <w:tcPr>
            <w:tcW w:w="2260" w:type="dxa"/>
            <w:vAlign w:val="bottom"/>
            <w:gridSpan w:val="2"/>
          </w:tcPr>
          <w:p>
            <w:pPr>
              <w:ind w:left="220"/>
              <w:spacing w:after="0" w:line="110" w:lineRule="exact"/>
              <w:rPr>
                <w:sz w:val="20"/>
                <w:szCs w:val="20"/>
                <w:color w:val="auto"/>
              </w:rPr>
            </w:pPr>
            <w:r>
              <w:rPr>
                <w:rFonts w:ascii="Times New Roman" w:cs="Times New Roman" w:eastAsia="Times New Roman" w:hAnsi="Times New Roman"/>
                <w:sz w:val="12"/>
                <w:szCs w:val="12"/>
                <w:color w:val="auto"/>
              </w:rPr>
              <w:t>Income from continuing</w:t>
            </w:r>
          </w:p>
        </w:tc>
        <w:tc>
          <w:tcPr>
            <w:tcW w:w="1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420</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450</w:t>
            </w:r>
          </w:p>
        </w:tc>
        <w:tc>
          <w:tcPr>
            <w:tcW w:w="3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403</w:t>
            </w:r>
          </w:p>
        </w:tc>
        <w:tc>
          <w:tcPr>
            <w:tcW w:w="86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1,056</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1,255</w:t>
            </w:r>
          </w:p>
        </w:tc>
        <w:tc>
          <w:tcPr>
            <w:tcW w:w="86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4"/>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operations, net of tax</w:t>
            </w: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performance metrics: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6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4"/>
                <w:szCs w:val="14"/>
                <w:color w:val="auto"/>
              </w:rPr>
              <w:t>Period-end loans held for</w:t>
            </w:r>
          </w:p>
        </w:tc>
        <w:tc>
          <w:tcPr>
            <w:tcW w:w="1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83,230</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81,233</w:t>
            </w:r>
          </w:p>
        </w:tc>
        <w:tc>
          <w:tcPr>
            <w:tcW w:w="3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78,896</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78,092</w:t>
            </w:r>
          </w:p>
        </w:tc>
        <w:tc>
          <w:tcPr>
            <w:tcW w:w="14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76,758</w:t>
            </w:r>
          </w:p>
        </w:tc>
        <w:tc>
          <w:tcPr>
            <w:tcW w:w="86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1"/>
                <w:szCs w:val="11"/>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83,230</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76,758</w:t>
            </w:r>
          </w:p>
        </w:tc>
        <w:tc>
          <w:tcPr>
            <w:tcW w:w="86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8"/>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investment</w:t>
            </w: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82,295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80,095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78,480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77,221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76,182</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80,304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75,555</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0"/>
        </w:trPr>
        <w:tc>
          <w:tcPr>
            <w:tcW w:w="226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4"/>
                <w:szCs w:val="14"/>
                <w:color w:val="auto"/>
              </w:rPr>
              <w:t>Average yield on loans held for</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Pr>
          <w:p>
            <w:pPr>
              <w:spacing w:after="0"/>
              <w:rPr>
                <w:sz w:val="11"/>
                <w:szCs w:val="11"/>
                <w:color w:val="auto"/>
              </w:rPr>
            </w:pPr>
          </w:p>
        </w:tc>
        <w:tc>
          <w:tcPr>
            <w:tcW w:w="11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22 bps</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64 bps</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 bps</w:t>
            </w:r>
          </w:p>
        </w:tc>
        <w:tc>
          <w:tcPr>
            <w:tcW w:w="0" w:type="dxa"/>
            <w:vAlign w:val="bottom"/>
          </w:tcPr>
          <w:p>
            <w:pPr>
              <w:spacing w:after="0"/>
              <w:rPr>
                <w:sz w:val="1"/>
                <w:szCs w:val="1"/>
                <w:color w:val="auto"/>
              </w:rPr>
            </w:pPr>
          </w:p>
        </w:tc>
      </w:tr>
      <w:tr>
        <w:trPr>
          <w:trHeight w:val="188"/>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investment</w:t>
            </w:r>
            <w:r>
              <w:rPr>
                <w:rFonts w:ascii="Times New Roman" w:cs="Times New Roman" w:eastAsia="Times New Roman" w:hAnsi="Times New Roman"/>
                <w:sz w:val="8"/>
                <w:szCs w:val="8"/>
                <w:color w:val="auto"/>
              </w:rPr>
              <w:t>(1)</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Auto loan originations</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10,731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10,861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9,210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9,399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9,158</w:t>
            </w:r>
          </w:p>
        </w:tc>
        <w:tc>
          <w:tcPr>
            <w:tcW w:w="8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30,802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25,143</w:t>
            </w:r>
          </w:p>
        </w:tc>
        <w:tc>
          <w:tcPr>
            <w:tcW w:w="8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Period-end deposits</w:t>
            </w:r>
          </w:p>
        </w:tc>
        <w:tc>
          <w:tcPr>
            <w:tcW w:w="180" w:type="dxa"/>
            <w:vAlign w:val="bottom"/>
          </w:tcPr>
          <w:p>
            <w:pPr>
              <w:spacing w:after="0"/>
              <w:rPr>
                <w:sz w:val="16"/>
                <w:szCs w:val="16"/>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416,765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414,044</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324,920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318,329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309,569</w:t>
            </w:r>
          </w:p>
        </w:tc>
        <w:tc>
          <w:tcPr>
            <w:tcW w:w="86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416,765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309,569</w:t>
            </w:r>
          </w:p>
        </w:tc>
        <w:tc>
          <w:tcPr>
            <w:tcW w:w="86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0"/>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deposits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414,219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365,359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319,950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313,992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306,121</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366,854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300,475</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Average deposits interest rate</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6"/>
                <w:szCs w:val="16"/>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5 bps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(26)bps</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(20)bps</w:t>
            </w:r>
          </w:p>
        </w:tc>
        <w:tc>
          <w:tcPr>
            <w:tcW w:w="0" w:type="dxa"/>
            <w:vAlign w:val="bottom"/>
          </w:tcPr>
          <w:p>
            <w:pPr>
              <w:spacing w:after="0"/>
              <w:rPr>
                <w:sz w:val="1"/>
                <w:szCs w:val="1"/>
                <w:color w:val="auto"/>
              </w:rPr>
            </w:pPr>
          </w:p>
        </w:tc>
      </w:tr>
      <w:tr>
        <w:trPr>
          <w:trHeight w:val="200"/>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charge-off rate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2.38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2.11</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2.00</w:t>
            </w:r>
          </w:p>
        </w:tc>
        <w:tc>
          <w:tcPr>
            <w:tcW w:w="8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30"/>
        </w:trPr>
        <w:tc>
          <w:tcPr>
            <w:tcW w:w="226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4"/>
                <w:szCs w:val="14"/>
                <w:color w:val="auto"/>
              </w:rPr>
              <w:t>30+ day performing delinquency</w:t>
            </w:r>
          </w:p>
        </w:tc>
        <w:tc>
          <w:tcPr>
            <w:tcW w:w="180" w:type="dxa"/>
            <w:vAlign w:val="bottom"/>
          </w:tcPr>
          <w:p>
            <w:pPr>
              <w:spacing w:after="0"/>
              <w:rPr>
                <w:sz w:val="11"/>
                <w:szCs w:val="11"/>
                <w:color w:val="auto"/>
              </w:rPr>
            </w:pP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4.93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4.78</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5.87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5.53</w:t>
            </w:r>
          </w:p>
        </w:tc>
        <w:tc>
          <w:tcPr>
            <w:tcW w:w="86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4.93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5.53</w:t>
            </w:r>
          </w:p>
        </w:tc>
        <w:tc>
          <w:tcPr>
            <w:tcW w:w="86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8"/>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rate</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 day delinquency rate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5.40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6.73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6.31</w:t>
            </w:r>
          </w:p>
        </w:tc>
        <w:tc>
          <w:tcPr>
            <w:tcW w:w="8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5.53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6.31</w:t>
            </w:r>
          </w:p>
        </w:tc>
        <w:tc>
          <w:tcPr>
            <w:tcW w:w="8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4"/>
        </w:trPr>
        <w:tc>
          <w:tcPr>
            <w:tcW w:w="226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Nonperforming loan rate</w:t>
            </w:r>
            <w:r>
              <w:rPr>
                <w:rFonts w:ascii="Times New Roman" w:cs="Times New Roman" w:eastAsia="Times New Roman" w:hAnsi="Times New Roman"/>
                <w:sz w:val="17"/>
                <w:szCs w:val="17"/>
                <w:color w:val="auto"/>
                <w:vertAlign w:val="superscript"/>
              </w:rPr>
              <w:t>(5)</w:t>
            </w:r>
          </w:p>
        </w:tc>
        <w:tc>
          <w:tcPr>
            <w:tcW w:w="18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0.74</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0.99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0.93</w:t>
            </w:r>
          </w:p>
        </w:tc>
        <w:tc>
          <w:tcPr>
            <w:tcW w:w="8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0.73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0.93</w:t>
            </w:r>
          </w:p>
        </w:tc>
        <w:tc>
          <w:tcPr>
            <w:tcW w:w="8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4"/>
        </w:trPr>
        <w:tc>
          <w:tcPr>
            <w:tcW w:w="2260" w:type="dxa"/>
            <w:vAlign w:val="bottom"/>
            <w:gridSpan w:val="2"/>
            <w:shd w:val="clear" w:color="auto" w:fill="CCEEFF"/>
          </w:tcPr>
          <w:p>
            <w:pPr>
              <w:ind w:left="220"/>
              <w:spacing w:after="0" w:line="194" w:lineRule="exact"/>
              <w:rPr>
                <w:sz w:val="20"/>
                <w:szCs w:val="20"/>
                <w:color w:val="auto"/>
              </w:rPr>
            </w:pPr>
            <w:r>
              <w:rPr>
                <w:rFonts w:ascii="Times New Roman" w:cs="Times New Roman" w:eastAsia="Times New Roman" w:hAnsi="Times New Roman"/>
                <w:sz w:val="14"/>
                <w:szCs w:val="14"/>
                <w:color w:val="auto"/>
              </w:rPr>
              <w:t>Nonperforming asset rate</w:t>
            </w:r>
            <w:r>
              <w:rPr>
                <w:rFonts w:ascii="Times New Roman" w:cs="Times New Roman" w:eastAsia="Times New Roman" w:hAnsi="Times New Roman"/>
                <w:sz w:val="17"/>
                <w:szCs w:val="17"/>
                <w:color w:val="auto"/>
                <w:vertAlign w:val="superscript"/>
              </w:rPr>
              <w:t>(6)</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0.82</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0.82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30"/>
        </w:trPr>
        <w:tc>
          <w:tcPr>
            <w:tcW w:w="226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4"/>
                <w:szCs w:val="14"/>
                <w:color w:val="auto"/>
              </w:rPr>
              <w:t>Global Payment Network</w:t>
            </w:r>
          </w:p>
        </w:tc>
        <w:tc>
          <w:tcPr>
            <w:tcW w:w="1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153,117</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74,014</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227,131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volume</w:t>
            </w:r>
            <w:r>
              <w:rPr>
                <w:rFonts w:ascii="Times New Roman" w:cs="Times New Roman" w:eastAsia="Times New Roman" w:hAnsi="Times New Roman"/>
                <w:sz w:val="8"/>
                <w:szCs w:val="8"/>
                <w:color w:val="auto"/>
              </w:rPr>
              <w:t>(14)</w:t>
            </w: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6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Auto—At origination FICO scores: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(15)</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Greater than 660</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6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621 - 660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20</w:t>
            </w:r>
          </w:p>
        </w:tc>
        <w:tc>
          <w:tcPr>
            <w:tcW w:w="8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620 or below</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29</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27</w:t>
            </w:r>
          </w:p>
        </w:tc>
        <w:tc>
          <w:tcPr>
            <w:tcW w:w="86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ind w:right="19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27</w:t>
            </w:r>
          </w:p>
        </w:tc>
        <w:tc>
          <w:tcPr>
            <w:tcW w:w="86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8"/>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12: Financial &amp; Statistical Summary—Commercial Banking Business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2025 Q3 vs.</w:t>
            </w:r>
          </w:p>
        </w:tc>
        <w:tc>
          <w:tcPr>
            <w:tcW w:w="160" w:type="dxa"/>
            <w:vAlign w:val="bottom"/>
          </w:tcPr>
          <w:p>
            <w:pPr>
              <w:spacing w:after="0"/>
              <w:rPr>
                <w:sz w:val="15"/>
                <w:szCs w:val="15"/>
                <w:color w:val="auto"/>
              </w:rPr>
            </w:pPr>
          </w:p>
        </w:tc>
        <w:tc>
          <w:tcPr>
            <w:tcW w:w="2320" w:type="dxa"/>
            <w:vAlign w:val="bottom"/>
            <w:gridSpan w:val="6"/>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0" w:type="dxa"/>
            <w:vAlign w:val="bottom"/>
          </w:tcPr>
          <w:p>
            <w:pPr>
              <w:spacing w:after="0"/>
              <w:rPr>
                <w:sz w:val="1"/>
                <w:szCs w:val="1"/>
                <w:color w:val="auto"/>
              </w:rPr>
            </w:pPr>
          </w:p>
        </w:tc>
      </w:tr>
      <w:tr>
        <w:trPr>
          <w:trHeight w:val="18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180" w:type="dxa"/>
            <w:vAlign w:val="bottom"/>
          </w:tcPr>
          <w:p>
            <w:pPr>
              <w:spacing w:after="0"/>
              <w:rPr>
                <w:sz w:val="15"/>
                <w:szCs w:val="15"/>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89"/>
              </w:rPr>
              <w:t>Q3</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Q1</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Q4</w:t>
            </w:r>
          </w:p>
        </w:tc>
        <w:tc>
          <w:tcPr>
            <w:tcW w:w="180" w:type="dxa"/>
            <w:vAlign w:val="bottom"/>
          </w:tcPr>
          <w:p>
            <w:pPr>
              <w:spacing w:after="0"/>
              <w:rPr>
                <w:sz w:val="15"/>
                <w:szCs w:val="15"/>
                <w:color w:val="auto"/>
              </w:rPr>
            </w:pPr>
          </w:p>
        </w:tc>
        <w:tc>
          <w:tcPr>
            <w:tcW w:w="62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5"/>
                <w:szCs w:val="15"/>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Q2</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Banking</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596</w:t>
            </w:r>
          </w:p>
        </w:tc>
        <w:tc>
          <w:tcPr>
            <w:tcW w:w="8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1,760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1,804</w:t>
            </w:r>
          </w:p>
        </w:tc>
        <w:tc>
          <w:tcPr>
            <w:tcW w:w="8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318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292</w:t>
            </w:r>
          </w:p>
        </w:tc>
        <w:tc>
          <w:tcPr>
            <w:tcW w:w="880" w:type="dxa"/>
            <w:vAlign w:val="bottom"/>
            <w:tcBorders>
              <w:bottom w:val="single" w:sz="8" w:color="CCEEFF"/>
            </w:tcBorders>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ind w:right="191"/>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965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844</w:t>
            </w:r>
          </w:p>
        </w:tc>
        <w:tc>
          <w:tcPr>
            <w:tcW w:w="82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3"/>
        </w:trPr>
        <w:tc>
          <w:tcPr>
            <w:tcW w:w="2540" w:type="dxa"/>
            <w:vAlign w:val="bottom"/>
            <w:gridSpan w:val="2"/>
            <w:shd w:val="clear" w:color="auto" w:fill="CCEEFF"/>
          </w:tcPr>
          <w:p>
            <w:pPr>
              <w:ind w:left="220"/>
              <w:spacing w:after="0" w:line="194" w:lineRule="exact"/>
              <w:rPr>
                <w:sz w:val="20"/>
                <w:szCs w:val="20"/>
                <w:color w:val="auto"/>
              </w:rPr>
            </w:pPr>
            <w:r>
              <w:rPr>
                <w:rFonts w:ascii="Times New Roman" w:cs="Times New Roman" w:eastAsia="Times New Roman" w:hAnsi="Times New Roman"/>
                <w:sz w:val="14"/>
                <w:szCs w:val="14"/>
                <w:color w:val="auto"/>
              </w:rPr>
              <w:t>Total net revenue</w:t>
            </w:r>
            <w:r>
              <w:rPr>
                <w:rFonts w:ascii="Times New Roman" w:cs="Times New Roman" w:eastAsia="Times New Roman" w:hAnsi="Times New Roman"/>
                <w:sz w:val="17"/>
                <w:szCs w:val="17"/>
                <w:color w:val="auto"/>
                <w:vertAlign w:val="superscript"/>
              </w:rPr>
              <w:t>(10)</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904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888</w:t>
            </w:r>
          </w:p>
        </w:tc>
        <w:tc>
          <w:tcPr>
            <w:tcW w:w="88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2,725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2,648</w:t>
            </w:r>
          </w:p>
        </w:tc>
        <w:tc>
          <w:tcPr>
            <w:tcW w:w="82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Provision (benefit) for credit losses</w:t>
            </w: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48</w:t>
            </w:r>
          </w:p>
        </w:tc>
        <w:tc>
          <w:tcPr>
            <w:tcW w:w="88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80</w:t>
            </w:r>
          </w:p>
        </w:tc>
        <w:tc>
          <w:tcPr>
            <w:tcW w:w="8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520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495</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1,495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0"/>
        </w:trPr>
        <w:tc>
          <w:tcPr>
            <w:tcW w:w="2540" w:type="dxa"/>
            <w:vAlign w:val="bottom"/>
            <w:gridSpan w:val="2"/>
          </w:tcPr>
          <w:p>
            <w:pPr>
              <w:ind w:left="220"/>
              <w:spacing w:after="0" w:line="110" w:lineRule="exact"/>
              <w:rPr>
                <w:sz w:val="20"/>
                <w:szCs w:val="20"/>
                <w:color w:val="auto"/>
              </w:rPr>
            </w:pPr>
            <w:r>
              <w:rPr>
                <w:rFonts w:ascii="Times New Roman" w:cs="Times New Roman" w:eastAsia="Times New Roman" w:hAnsi="Times New Roman"/>
                <w:sz w:val="12"/>
                <w:szCs w:val="12"/>
                <w:color w:val="auto"/>
              </w:rPr>
              <w:t>Income from continuing operations</w:t>
            </w:r>
          </w:p>
        </w:tc>
        <w:tc>
          <w:tcPr>
            <w:tcW w:w="180" w:type="dxa"/>
            <w:vAlign w:val="bottom"/>
          </w:tcPr>
          <w:p>
            <w:pPr>
              <w:spacing w:after="0"/>
              <w:rPr>
                <w:sz w:val="9"/>
                <w:szCs w:val="9"/>
                <w:color w:val="auto"/>
              </w:rPr>
            </w:pP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375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345</w:t>
            </w:r>
          </w:p>
        </w:tc>
        <w:tc>
          <w:tcPr>
            <w:tcW w:w="88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9"/>
                <w:szCs w:val="9"/>
                <w:color w:val="auto"/>
              </w:rPr>
            </w:pPr>
          </w:p>
        </w:tc>
        <w:tc>
          <w:tcPr>
            <w:tcW w:w="7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998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1,075</w:t>
            </w:r>
          </w:p>
        </w:tc>
        <w:tc>
          <w:tcPr>
            <w:tcW w:w="8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8"/>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before income taxes</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provision</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89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82</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237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254</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10"/>
        </w:trPr>
        <w:tc>
          <w:tcPr>
            <w:tcW w:w="2540" w:type="dxa"/>
            <w:vAlign w:val="bottom"/>
            <w:gridSpan w:val="2"/>
          </w:tcPr>
          <w:p>
            <w:pPr>
              <w:ind w:left="220"/>
              <w:spacing w:after="0" w:line="110" w:lineRule="exact"/>
              <w:rPr>
                <w:sz w:val="20"/>
                <w:szCs w:val="20"/>
                <w:color w:val="auto"/>
              </w:rPr>
            </w:pPr>
            <w:r>
              <w:rPr>
                <w:rFonts w:ascii="Times New Roman" w:cs="Times New Roman" w:eastAsia="Times New Roman" w:hAnsi="Times New Roman"/>
                <w:sz w:val="12"/>
                <w:szCs w:val="12"/>
                <w:color w:val="auto"/>
              </w:rPr>
              <w:t>Income from continuing operations, net</w:t>
            </w:r>
          </w:p>
        </w:tc>
        <w:tc>
          <w:tcPr>
            <w:tcW w:w="1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tcPr>
          <w:p>
            <w:pPr>
              <w:spacing w:after="0"/>
              <w:rPr>
                <w:sz w:val="9"/>
                <w:szCs w:val="9"/>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9"/>
                <w:szCs w:val="9"/>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9"/>
                <w:szCs w:val="9"/>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Pr>
          <w:p>
            <w:pPr>
              <w:spacing w:after="0"/>
              <w:rPr>
                <w:sz w:val="9"/>
                <w:szCs w:val="9"/>
                <w:color w:val="auto"/>
              </w:rPr>
            </w:pPr>
          </w:p>
        </w:tc>
        <w:tc>
          <w:tcPr>
            <w:tcW w:w="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263</w:t>
            </w:r>
          </w:p>
        </w:tc>
        <w:tc>
          <w:tcPr>
            <w:tcW w:w="88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9"/>
                <w:szCs w:val="9"/>
                <w:color w:val="auto"/>
              </w:rPr>
            </w:pPr>
          </w:p>
        </w:tc>
        <w:tc>
          <w:tcPr>
            <w:tcW w:w="7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761</w:t>
            </w:r>
          </w:p>
        </w:tc>
        <w:tc>
          <w:tcPr>
            <w:tcW w:w="80" w:type="dxa"/>
            <w:vAlign w:val="bottom"/>
          </w:tcPr>
          <w:p>
            <w:pPr>
              <w:spacing w:after="0"/>
              <w:rPr>
                <w:sz w:val="9"/>
                <w:szCs w:val="9"/>
                <w:color w:val="auto"/>
              </w:rPr>
            </w:pPr>
          </w:p>
        </w:tc>
        <w:tc>
          <w:tcPr>
            <w:tcW w:w="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821</w:t>
            </w:r>
          </w:p>
        </w:tc>
        <w:tc>
          <w:tcPr>
            <w:tcW w:w="8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4"/>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of tax</w:t>
            </w:r>
          </w:p>
        </w:tc>
        <w:tc>
          <w:tcPr>
            <w:tcW w:w="1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performance metrics: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Period-end loans held for investment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88,892</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88,355</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87,513</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87,175</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86,834</w:t>
            </w:r>
          </w:p>
        </w:tc>
        <w:tc>
          <w:tcPr>
            <w:tcW w:w="8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88,892</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86,834</w:t>
            </w:r>
          </w:p>
        </w:tc>
        <w:tc>
          <w:tcPr>
            <w:tcW w:w="82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88,389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88,369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87,498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87,324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88,101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88,088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89,001</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0"/>
        </w:trPr>
        <w:tc>
          <w:tcPr>
            <w:tcW w:w="254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4"/>
                <w:szCs w:val="14"/>
                <w:color w:val="auto"/>
              </w:rPr>
              <w:t>Average yield on loans held for</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6.42%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1"/>
                <w:szCs w:val="11"/>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 bps</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(83)bps</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(84)bps</w:t>
            </w:r>
          </w:p>
        </w:tc>
        <w:tc>
          <w:tcPr>
            <w:tcW w:w="0" w:type="dxa"/>
            <w:vAlign w:val="bottom"/>
          </w:tcPr>
          <w:p>
            <w:pPr>
              <w:spacing w:after="0"/>
              <w:rPr>
                <w:sz w:val="1"/>
                <w:szCs w:val="1"/>
                <w:color w:val="auto"/>
              </w:rPr>
            </w:pPr>
          </w:p>
        </w:tc>
      </w:tr>
      <w:tr>
        <w:trPr>
          <w:trHeight w:val="188"/>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investment</w:t>
            </w:r>
            <w:r>
              <w:rPr>
                <w:rFonts w:ascii="Times New Roman" w:cs="Times New Roman" w:eastAsia="Times New Roman" w:hAnsi="Times New Roman"/>
                <w:sz w:val="8"/>
                <w:szCs w:val="8"/>
                <w:color w:val="auto"/>
              </w:rPr>
              <w:t>(1)(10)</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Period-end deposits</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29,920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29,245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29,984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31,691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30,598</w:t>
            </w:r>
          </w:p>
        </w:tc>
        <w:tc>
          <w:tcPr>
            <w:tcW w:w="8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29,920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30,598</w:t>
            </w:r>
          </w:p>
        </w:tc>
        <w:tc>
          <w:tcPr>
            <w:tcW w:w="8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Average deposits</w:t>
            </w:r>
          </w:p>
        </w:tc>
        <w:tc>
          <w:tcPr>
            <w:tcW w:w="18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29,889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30,444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31,654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31,545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30,365</w:t>
            </w:r>
          </w:p>
        </w:tc>
        <w:tc>
          <w:tcPr>
            <w:tcW w:w="88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30,656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31,004</w:t>
            </w:r>
          </w:p>
        </w:tc>
        <w:tc>
          <w:tcPr>
            <w:tcW w:w="8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deposits interest rate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 bps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(42)bps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(47)bps</w:t>
            </w:r>
          </w:p>
        </w:tc>
        <w:tc>
          <w:tcPr>
            <w:tcW w:w="0" w:type="dxa"/>
            <w:vAlign w:val="bottom"/>
          </w:tcPr>
          <w:p>
            <w:pPr>
              <w:spacing w:after="0"/>
              <w:rPr>
                <w:sz w:val="1"/>
                <w:szCs w:val="1"/>
                <w:color w:val="auto"/>
              </w:rPr>
            </w:pPr>
          </w:p>
        </w:tc>
      </w:tr>
      <w:tr>
        <w:trPr>
          <w:trHeight w:val="189"/>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charge-off rate</w:t>
            </w: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0.22</w:t>
            </w:r>
          </w:p>
        </w:tc>
        <w:tc>
          <w:tcPr>
            <w:tcW w:w="88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0.17</w:t>
            </w:r>
          </w:p>
        </w:tc>
        <w:tc>
          <w:tcPr>
            <w:tcW w:w="82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Nonperforming loan rate</w:t>
            </w:r>
            <w:r>
              <w:rPr>
                <w:rFonts w:ascii="Times New Roman" w:cs="Times New Roman" w:eastAsia="Times New Roman" w:hAnsi="Times New Roman"/>
                <w:sz w:val="17"/>
                <w:szCs w:val="17"/>
                <w:color w:val="auto"/>
                <w:vertAlign w:val="superscript"/>
              </w:rPr>
              <w:t>(5)</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1.55</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1.55</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4"/>
        </w:trPr>
        <w:tc>
          <w:tcPr>
            <w:tcW w:w="254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Nonperforming asset rate</w:t>
            </w:r>
            <w:r>
              <w:rPr>
                <w:rFonts w:ascii="Times New Roman" w:cs="Times New Roman" w:eastAsia="Times New Roman" w:hAnsi="Times New Roman"/>
                <w:sz w:val="17"/>
                <w:szCs w:val="17"/>
                <w:color w:val="auto"/>
                <w:vertAlign w:val="superscript"/>
              </w:rPr>
              <w:t>(6)</w:t>
            </w: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1.55</w:t>
            </w:r>
          </w:p>
        </w:tc>
        <w:tc>
          <w:tcPr>
            <w:tcW w:w="8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1.55</w:t>
            </w:r>
          </w:p>
        </w:tc>
        <w:tc>
          <w:tcPr>
            <w:tcW w:w="8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4"/>
        </w:trPr>
        <w:tc>
          <w:tcPr>
            <w:tcW w:w="25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b w:val="1"/>
                <w:bCs w:val="1"/>
                <w:color w:val="auto"/>
              </w:rPr>
              <w:t>Risk category:</w:t>
            </w:r>
            <w:r>
              <w:rPr>
                <w:rFonts w:ascii="Times New Roman" w:cs="Times New Roman" w:eastAsia="Times New Roman" w:hAnsi="Times New Roman"/>
                <w:sz w:val="17"/>
                <w:szCs w:val="17"/>
                <w:b w:val="1"/>
                <w:bCs w:val="1"/>
                <w:color w:val="auto"/>
                <w:vertAlign w:val="superscript"/>
              </w:rPr>
              <w:t>(16)</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Noncriticized</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83,098</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82,000</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80,677</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80,431</w:t>
            </w:r>
          </w:p>
        </w:tc>
        <w:tc>
          <w:tcPr>
            <w:tcW w:w="12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78,835</w:t>
            </w:r>
          </w:p>
        </w:tc>
        <w:tc>
          <w:tcPr>
            <w:tcW w:w="88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83,098</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78,835</w:t>
            </w:r>
          </w:p>
        </w:tc>
        <w:tc>
          <w:tcPr>
            <w:tcW w:w="82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Criticized performing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5,204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5,612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5,534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6,651</w:t>
            </w:r>
          </w:p>
        </w:tc>
        <w:tc>
          <w:tcPr>
            <w:tcW w:w="88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6,651</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Criticized nonperforming</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1,236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1,348</w:t>
            </w:r>
          </w:p>
        </w:tc>
        <w:tc>
          <w:tcPr>
            <w:tcW w:w="880" w:type="dxa"/>
            <w:vAlign w:val="bottom"/>
            <w:tcBorders>
              <w:bottom w:val="single" w:sz="8" w:color="CCEEFF"/>
            </w:tcBorders>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jc w:val="right"/>
              <w:ind w:right="171"/>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1,236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1,348</w:t>
            </w:r>
          </w:p>
        </w:tc>
        <w:tc>
          <w:tcPr>
            <w:tcW w:w="820" w:type="dxa"/>
            <w:vAlign w:val="bottom"/>
            <w:tcBorders>
              <w:bottom w:val="single" w:sz="8" w:color="CCEEFF"/>
            </w:tcBorders>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15"/>
        </w:trPr>
        <w:tc>
          <w:tcPr>
            <w:tcW w:w="254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commercial banking loans held for</w:t>
            </w:r>
          </w:p>
        </w:tc>
        <w:tc>
          <w:tcPr>
            <w:tcW w:w="1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88,892</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88,355</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87,513</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87,175</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86,834</w:t>
            </w:r>
          </w:p>
        </w:tc>
        <w:tc>
          <w:tcPr>
            <w:tcW w:w="880" w:type="dxa"/>
            <w:vAlign w:val="bottom"/>
            <w:gridSpan w:val="2"/>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88,892</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86,834</w:t>
            </w:r>
          </w:p>
        </w:tc>
        <w:tc>
          <w:tcPr>
            <w:tcW w:w="820" w:type="dxa"/>
            <w:vAlign w:val="bottom"/>
            <w:gridSpan w:val="2"/>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gridSpan w:val="2"/>
            <w:vMerge w:val="restart"/>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Risk category as a percentage of period-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5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 loans held for investment:</w:t>
            </w:r>
            <w:r>
              <w:rPr>
                <w:rFonts w:ascii="Times New Roman" w:cs="Times New Roman" w:eastAsia="Times New Roman" w:hAnsi="Times New Roman"/>
                <w:sz w:val="8"/>
                <w:szCs w:val="8"/>
                <w:b w:val="1"/>
                <w:bCs w:val="1"/>
                <w:color w:val="auto"/>
              </w:rPr>
              <w:t>(16)</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Noncriticized</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 bps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269 bps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 bps</w:t>
            </w:r>
          </w:p>
        </w:tc>
        <w:tc>
          <w:tcPr>
            <w:tcW w:w="0" w:type="dxa"/>
            <w:vAlign w:val="bottom"/>
          </w:tcPr>
          <w:p>
            <w:pPr>
              <w:spacing w:after="0"/>
              <w:rPr>
                <w:sz w:val="1"/>
                <w:szCs w:val="1"/>
                <w:color w:val="auto"/>
              </w:rPr>
            </w:pPr>
          </w:p>
        </w:tc>
      </w:tr>
      <w:tr>
        <w:trPr>
          <w:trHeight w:val="189"/>
        </w:trPr>
        <w:tc>
          <w:tcPr>
            <w:tcW w:w="2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Criticized performing</w:t>
            </w: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5.13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7.66</w:t>
            </w:r>
          </w:p>
        </w:tc>
        <w:tc>
          <w:tcPr>
            <w:tcW w:w="88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(253)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5.13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7.66</w:t>
            </w:r>
          </w:p>
        </w:tc>
        <w:tc>
          <w:tcPr>
            <w:tcW w:w="8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4"/>
        </w:trPr>
        <w:tc>
          <w:tcPr>
            <w:tcW w:w="2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Criticized nonperforming</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1.39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1.55</w:t>
            </w:r>
          </w:p>
        </w:tc>
        <w:tc>
          <w:tcPr>
            <w:tcW w:w="8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1.39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1.55</w:t>
            </w:r>
          </w:p>
        </w:tc>
        <w:tc>
          <w:tcPr>
            <w:tcW w:w="82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 banking loans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13: Financial &amp; Statistical Summary—Other and Total</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2025 Q3 vs.</w:t>
            </w: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 vs.</w:t>
            </w:r>
          </w:p>
        </w:tc>
        <w:tc>
          <w:tcPr>
            <w:tcW w:w="0" w:type="dxa"/>
            <w:vAlign w:val="bottom"/>
          </w:tcPr>
          <w:p>
            <w:pPr>
              <w:spacing w:after="0"/>
              <w:rPr>
                <w:sz w:val="1"/>
                <w:szCs w:val="1"/>
                <w:color w:val="auto"/>
              </w:rPr>
            </w:pPr>
          </w:p>
        </w:tc>
      </w:tr>
      <w:tr>
        <w:trPr>
          <w:trHeight w:val="18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Q3</w:t>
            </w:r>
          </w:p>
        </w:tc>
        <w:tc>
          <w:tcPr>
            <w:tcW w:w="14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Q4</w:t>
            </w:r>
          </w:p>
        </w:tc>
        <w:tc>
          <w:tcPr>
            <w:tcW w:w="140" w:type="dxa"/>
            <w:vAlign w:val="bottom"/>
          </w:tcPr>
          <w:p>
            <w:pPr>
              <w:spacing w:after="0"/>
              <w:rPr>
                <w:sz w:val="15"/>
                <w:szCs w:val="15"/>
                <w:color w:val="auto"/>
              </w:rPr>
            </w:pPr>
          </w:p>
        </w:tc>
        <w:tc>
          <w:tcPr>
            <w:tcW w:w="56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Q2</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89"/>
              </w:rPr>
              <w:t>Q3</w:t>
            </w:r>
          </w:p>
        </w:tc>
        <w:tc>
          <w:tcPr>
            <w:tcW w:w="120" w:type="dxa"/>
            <w:vAlign w:val="bottom"/>
          </w:tcPr>
          <w:p>
            <w:pPr>
              <w:spacing w:after="0"/>
              <w:rPr>
                <w:sz w:val="15"/>
                <w:szCs w:val="15"/>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income (loss)</w:t>
            </w: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(291)</w:t>
            </w:r>
          </w:p>
        </w:tc>
        <w:tc>
          <w:tcPr>
            <w:tcW w:w="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(1,067)</w:t>
            </w:r>
          </w:p>
        </w:tc>
        <w:tc>
          <w:tcPr>
            <w:tcW w:w="7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Non-interest loss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(45)</w:t>
            </w:r>
          </w:p>
        </w:tc>
        <w:tc>
          <w:tcPr>
            <w:tcW w:w="76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ind w:right="5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(36)</w:t>
            </w:r>
          </w:p>
        </w:tc>
        <w:tc>
          <w:tcPr>
            <w:tcW w:w="740" w:type="dxa"/>
            <w:vAlign w:val="bottom"/>
            <w:tcBorders>
              <w:bottom w:val="single" w:sz="8" w:color="CCEEFF"/>
            </w:tcBorders>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3"/>
        </w:trPr>
        <w:tc>
          <w:tcPr>
            <w:tcW w:w="3380" w:type="dxa"/>
            <w:vAlign w:val="bottom"/>
            <w:gridSpan w:val="2"/>
            <w:shd w:val="clear" w:color="auto" w:fill="CCEEFF"/>
          </w:tcPr>
          <w:p>
            <w:pPr>
              <w:ind w:left="220"/>
              <w:spacing w:after="0" w:line="194" w:lineRule="exact"/>
              <w:rPr>
                <w:sz w:val="20"/>
                <w:szCs w:val="20"/>
                <w:color w:val="auto"/>
              </w:rPr>
            </w:pPr>
            <w:r>
              <w:rPr>
                <w:rFonts w:ascii="Times New Roman" w:cs="Times New Roman" w:eastAsia="Times New Roman" w:hAnsi="Times New Roman"/>
                <w:sz w:val="14"/>
                <w:szCs w:val="14"/>
                <w:color w:val="auto"/>
              </w:rPr>
              <w:t>Total net revenue (loss)</w:t>
            </w:r>
            <w:r>
              <w:rPr>
                <w:rFonts w:ascii="Times New Roman" w:cs="Times New Roman" w:eastAsia="Times New Roman" w:hAnsi="Times New Roman"/>
                <w:sz w:val="17"/>
                <w:szCs w:val="17"/>
                <w:color w:val="auto"/>
                <w:vertAlign w:val="superscript"/>
              </w:rPr>
              <w:t>(10)</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(336)</w:t>
            </w:r>
          </w:p>
        </w:tc>
        <w:tc>
          <w:tcPr>
            <w:tcW w:w="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(1,103)</w:t>
            </w:r>
          </w:p>
        </w:tc>
        <w:tc>
          <w:tcPr>
            <w:tcW w:w="7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9"/>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Provision (benefit) for credit losses</w:t>
            </w:r>
          </w:p>
        </w:tc>
        <w:tc>
          <w:tcPr>
            <w:tcW w:w="18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 expense</w:t>
            </w:r>
            <w:r>
              <w:rPr>
                <w:rFonts w:ascii="Times New Roman" w:cs="Times New Roman" w:eastAsia="Times New Roman" w:hAnsi="Times New Roman"/>
                <w:sz w:val="17"/>
                <w:szCs w:val="17"/>
                <w:color w:val="auto"/>
                <w:vertAlign w:val="superscript"/>
              </w:rPr>
              <w:t>(17)</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393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121</w:t>
            </w:r>
          </w:p>
        </w:tc>
        <w:tc>
          <w:tcPr>
            <w:tcW w:w="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932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347</w:t>
            </w:r>
          </w:p>
        </w:tc>
        <w:tc>
          <w:tcPr>
            <w:tcW w:w="7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2"/>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Loss from continuing operations before income taxes</w:t>
            </w:r>
          </w:p>
        </w:tc>
        <w:tc>
          <w:tcPr>
            <w:tcW w:w="180" w:type="dxa"/>
            <w:vAlign w:val="bottom"/>
          </w:tcPr>
          <w:p>
            <w:pPr>
              <w:spacing w:after="0"/>
              <w:rPr>
                <w:sz w:val="15"/>
                <w:szCs w:val="15"/>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(437)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(456)</w:t>
            </w:r>
          </w:p>
        </w:tc>
        <w:tc>
          <w:tcPr>
            <w:tcW w:w="7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(1,187)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(1,449)</w:t>
            </w:r>
          </w:p>
        </w:tc>
        <w:tc>
          <w:tcPr>
            <w:tcW w:w="7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4"/>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(361)</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(193)</w:t>
            </w:r>
          </w:p>
        </w:tc>
        <w:tc>
          <w:tcPr>
            <w:tcW w:w="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(482)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(601)</w:t>
            </w:r>
          </w:p>
        </w:tc>
        <w:tc>
          <w:tcPr>
            <w:tcW w:w="7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Loss from continuing operations, net of tax</w:t>
            </w: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(433)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(366)</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(263)</w:t>
            </w:r>
          </w:p>
        </w:tc>
        <w:tc>
          <w:tcPr>
            <w:tcW w:w="7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(705)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(848)</w:t>
            </w:r>
          </w:p>
        </w:tc>
        <w:tc>
          <w:tcPr>
            <w:tcW w:w="7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performance metrics:</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Period-end deposits</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22,100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24,821</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12,687</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7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22,100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7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0"/>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deposits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14,639</w:t>
            </w:r>
          </w:p>
        </w:tc>
        <w:tc>
          <w:tcPr>
            <w:tcW w:w="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17,286</w:t>
            </w:r>
          </w:p>
        </w:tc>
        <w:tc>
          <w:tcPr>
            <w:tcW w:w="7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2"/>
        </w:trPr>
        <w:tc>
          <w:tcPr>
            <w:tcW w:w="3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12,404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9,995</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76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30,412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7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0"/>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7,439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7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2"/>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net revenue</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7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37,851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28,922</w:t>
            </w:r>
          </w:p>
        </w:tc>
        <w:tc>
          <w:tcPr>
            <w:tcW w:w="7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0"/>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7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8,263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760" w:type="dxa"/>
            <w:vAlign w:val="bottom"/>
            <w:tcBorders>
              <w:bottom w:val="single" w:sz="8" w:color="CCEEFF"/>
            </w:tcBorders>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ind w:right="151"/>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21,156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740" w:type="dxa"/>
            <w:vAlign w:val="bottom"/>
            <w:tcBorders>
              <w:bottom w:val="single" w:sz="8" w:color="CCEEFF"/>
            </w:tcBorders>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15"/>
        </w:trPr>
        <w:tc>
          <w:tcPr>
            <w:tcW w:w="3380" w:type="dxa"/>
            <w:vAlign w:val="bottom"/>
            <w:gridSpan w:val="2"/>
            <w:shd w:val="clear" w:color="auto" w:fill="CCEEFF"/>
          </w:tcPr>
          <w:p>
            <w:pPr>
              <w:ind w:left="220"/>
              <w:spacing w:after="0" w:line="116" w:lineRule="exact"/>
              <w:rPr>
                <w:sz w:val="20"/>
                <w:szCs w:val="20"/>
                <w:color w:val="auto"/>
              </w:rPr>
            </w:pPr>
            <w:r>
              <w:rPr>
                <w:rFonts w:ascii="Times New Roman" w:cs="Times New Roman" w:eastAsia="Times New Roman" w:hAnsi="Times New Roman"/>
                <w:sz w:val="13"/>
                <w:szCs w:val="13"/>
                <w:color w:val="auto"/>
              </w:rPr>
              <w:t>Income (loss) from continuing operations before</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760" w:type="dxa"/>
            <w:vAlign w:val="bottom"/>
            <w:gridSpan w:val="2"/>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740" w:type="dxa"/>
            <w:vAlign w:val="bottom"/>
            <w:gridSpan w:val="2"/>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4"/>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760" w:type="dxa"/>
            <w:vAlign w:val="bottom"/>
            <w:tcBorders>
              <w:bottom w:val="single" w:sz="8" w:color="CCEEFF"/>
            </w:tcBorders>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ind w:right="151"/>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740" w:type="dxa"/>
            <w:vAlign w:val="bottom"/>
            <w:tcBorders>
              <w:bottom w:val="single" w:sz="8" w:color="CCEEFF"/>
            </w:tcBorders>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(loss) from continuing operations, net of tax</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76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74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performance metrics: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3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Period-end loans held for investment</w:t>
            </w: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443,159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320,243</w:t>
            </w:r>
          </w:p>
        </w:tc>
        <w:tc>
          <w:tcPr>
            <w:tcW w:w="7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443,159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320,243</w:t>
            </w:r>
          </w:p>
        </w:tc>
        <w:tc>
          <w:tcPr>
            <w:tcW w:w="7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9"/>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439,859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378,157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321,871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318,255</w:t>
            </w:r>
          </w:p>
        </w:tc>
        <w:tc>
          <w:tcPr>
            <w:tcW w:w="7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380,564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315,927</w:t>
            </w:r>
          </w:p>
        </w:tc>
        <w:tc>
          <w:tcPr>
            <w:tcW w:w="7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0"/>
        </w:trPr>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Period-end deposits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468,785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362,707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353,631</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468,785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353,631</w:t>
            </w:r>
          </w:p>
        </w:tc>
        <w:tc>
          <w:tcPr>
            <w:tcW w:w="7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3"/>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Average deposits</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467,280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414,568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351,125</w:t>
            </w:r>
          </w:p>
        </w:tc>
        <w:tc>
          <w:tcPr>
            <w:tcW w:w="76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415,686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348,765</w:t>
            </w:r>
          </w:p>
        </w:tc>
        <w:tc>
          <w:tcPr>
            <w:tcW w:w="74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870"/>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14: Notes to Net Interest Margin, Loan, Allowance and Business Segment Disclosures (Tables 6—13)</w:t>
      </w:r>
    </w:p>
    <w:p>
      <w:pPr>
        <w:spacing w:after="0" w:line="326" w:lineRule="exact"/>
        <w:rPr>
          <w:sz w:val="20"/>
          <w:szCs w:val="20"/>
          <w:color w:val="auto"/>
        </w:rPr>
      </w:pPr>
    </w:p>
    <w:p>
      <w:pPr>
        <w:ind w:left="320" w:hanging="316"/>
        <w:spacing w:after="0" w:line="228" w:lineRule="auto"/>
        <w:tabs>
          <w:tab w:leader="none" w:pos="308"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Average yield is calculated based on annualized interest income for the period divided by average loans during the period. Average yield is calculated using whole dollar values for average balances and interest income/expense. Accordingly, total interest earning assets less total interest bearing liabilities may not total net interest income/spread.</w:t>
      </w:r>
    </w:p>
    <w:p>
      <w:pPr>
        <w:spacing w:after="0" w:line="39" w:lineRule="exact"/>
        <w:rPr>
          <w:rFonts w:ascii="Times New Roman" w:cs="Times New Roman" w:eastAsia="Times New Roman" w:hAnsi="Times New Roman"/>
          <w:sz w:val="18"/>
          <w:szCs w:val="18"/>
          <w:color w:val="auto"/>
          <w:vertAlign w:val="superscript"/>
        </w:rPr>
      </w:pPr>
    </w:p>
    <w:p>
      <w:pPr>
        <w:jc w:val="both"/>
        <w:ind w:left="320" w:hanging="316"/>
        <w:spacing w:after="0" w:line="234" w:lineRule="auto"/>
        <w:tabs>
          <w:tab w:leader="none" w:pos="308"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related to entities that provide capital to low-income and rural communities of $2.1 billion, $2.2 billion and $2.1 billion for the third quarter, second quarter and first nine months of 2025, respectively, and $2.0 billion, $2.1 billion and $2.0 billion for the third quarter, second quarter and first nine months of 2024, respectively. Related interest expense was $8 million for both the third quarter and second quarter and $23 million for the first nine months of 2025, and $7 million, $8 million and $23 million for the third quarter, second quarter and first nine months of 2024, respectively.</w:t>
      </w:r>
    </w:p>
    <w:p>
      <w:pPr>
        <w:spacing w:after="0" w:line="40" w:lineRule="exact"/>
        <w:rPr>
          <w:rFonts w:ascii="Times New Roman" w:cs="Times New Roman" w:eastAsia="Times New Roman" w:hAnsi="Times New Roman"/>
          <w:sz w:val="18"/>
          <w:szCs w:val="18"/>
          <w:color w:val="auto"/>
          <w:vertAlign w:val="superscript"/>
        </w:rPr>
      </w:pPr>
    </w:p>
    <w:p>
      <w:pPr>
        <w:ind w:left="320" w:right="20" w:hanging="316"/>
        <w:spacing w:after="0" w:line="228" w:lineRule="auto"/>
        <w:tabs>
          <w:tab w:leader="none" w:pos="308"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Charge-offs exclude $19.4 billion of Discover loans acquired in the second quarter of 2025 that were fully charged-off, with expected recoveries of $3.3 billion included as a benefit to the allowance for credit losses.</w:t>
      </w:r>
    </w:p>
    <w:p>
      <w:pPr>
        <w:spacing w:after="0" w:line="26" w:lineRule="exact"/>
        <w:rPr>
          <w:rFonts w:ascii="Times New Roman" w:cs="Times New Roman" w:eastAsia="Times New Roman" w:hAnsi="Times New Roman"/>
          <w:sz w:val="18"/>
          <w:szCs w:val="18"/>
          <w:color w:val="auto"/>
          <w:vertAlign w:val="superscript"/>
        </w:rPr>
      </w:pPr>
    </w:p>
    <w:p>
      <w:pPr>
        <w:ind w:left="320" w:hanging="316"/>
        <w:spacing w:after="0" w:line="281" w:lineRule="auto"/>
        <w:tabs>
          <w:tab w:leader="none" w:pos="308"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Charge-offs exclude $18.0 billion of Discover Domestic credit card loans acquired in the second quarter of 2025 that are fully charged-off, with expected recoveries of $3.1 billion included as a benefit to the allowance for credit losses.</w:t>
      </w:r>
    </w:p>
    <w:p>
      <w:pPr>
        <w:spacing w:after="0" w:line="11" w:lineRule="exact"/>
        <w:rPr>
          <w:rFonts w:ascii="Times New Roman" w:cs="Times New Roman" w:eastAsia="Times New Roman" w:hAnsi="Times New Roman"/>
          <w:sz w:val="9"/>
          <w:szCs w:val="9"/>
          <w:color w:val="auto"/>
        </w:rPr>
      </w:pPr>
    </w:p>
    <w:p>
      <w:pPr>
        <w:ind w:left="320" w:hanging="316"/>
        <w:spacing w:after="0" w:line="228" w:lineRule="auto"/>
        <w:tabs>
          <w:tab w:leader="none" w:pos="308"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Nonperforming loan rates are calculated based on nonperforming loans for each category divided by period-end total loans held for investment for each respective category. For Commercial Banking, loans categorized as nonperforming are considered criticized nonperforming.</w:t>
      </w:r>
    </w:p>
    <w:p>
      <w:pPr>
        <w:spacing w:after="0" w:line="39" w:lineRule="exact"/>
        <w:rPr>
          <w:rFonts w:ascii="Times New Roman" w:cs="Times New Roman" w:eastAsia="Times New Roman" w:hAnsi="Times New Roman"/>
          <w:sz w:val="18"/>
          <w:szCs w:val="18"/>
          <w:color w:val="auto"/>
          <w:vertAlign w:val="superscript"/>
        </w:rPr>
      </w:pPr>
    </w:p>
    <w:p>
      <w:pPr>
        <w:ind w:left="320" w:hanging="316"/>
        <w:spacing w:after="0" w:line="219" w:lineRule="auto"/>
        <w:tabs>
          <w:tab w:leader="none" w:pos="308"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Nonperforming assets consist of nonperforming loans, repossessed assets and other foreclosed assets. The total nonperforming asset rate is calculated based on total nonperforming assets divided by the combined period-end total loans held for investment, repossessed assets and other foreclosed assets.</w:t>
      </w:r>
    </w:p>
    <w:p>
      <w:pPr>
        <w:spacing w:after="0" w:line="25" w:lineRule="exact"/>
        <w:rPr>
          <w:rFonts w:ascii="Times New Roman" w:cs="Times New Roman" w:eastAsia="Times New Roman" w:hAnsi="Times New Roman"/>
          <w:sz w:val="18"/>
          <w:szCs w:val="18"/>
          <w:color w:val="auto"/>
          <w:vertAlign w:val="superscript"/>
        </w:rPr>
      </w:pPr>
    </w:p>
    <w:p>
      <w:pPr>
        <w:ind w:left="300" w:hanging="296"/>
        <w:spacing w:after="0"/>
        <w:tabs>
          <w:tab w:leader="none" w:pos="30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Q2 2025, provision for credit losses includes the initial allowance for credit losses of $8.8 billion for non-purchased credit deteriorated (“non-PCD”) loans acquired in the Discover Acquisition.</w:t>
      </w:r>
    </w:p>
    <w:p>
      <w:pPr>
        <w:spacing w:after="0" w:line="52" w:lineRule="exact"/>
        <w:rPr>
          <w:rFonts w:ascii="Times New Roman" w:cs="Times New Roman" w:eastAsia="Times New Roman" w:hAnsi="Times New Roman"/>
          <w:sz w:val="17"/>
          <w:szCs w:val="17"/>
          <w:color w:val="auto"/>
          <w:vertAlign w:val="superscript"/>
        </w:rPr>
      </w:pPr>
    </w:p>
    <w:p>
      <w:pPr>
        <w:ind w:left="300" w:hanging="296"/>
        <w:spacing w:after="0" w:line="195" w:lineRule="auto"/>
        <w:tabs>
          <w:tab w:leader="none" w:pos="3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Primarily represents foreign currency translation adjustments.</w:t>
      </w:r>
    </w:p>
    <w:p>
      <w:pPr>
        <w:spacing w:after="0" w:line="52" w:lineRule="exact"/>
        <w:rPr>
          <w:rFonts w:ascii="Times New Roman" w:cs="Times New Roman" w:eastAsia="Times New Roman" w:hAnsi="Times New Roman"/>
          <w:sz w:val="18"/>
          <w:szCs w:val="18"/>
          <w:color w:val="auto"/>
          <w:vertAlign w:val="superscript"/>
        </w:rPr>
      </w:pPr>
    </w:p>
    <w:p>
      <w:pPr>
        <w:ind w:left="300" w:hanging="296"/>
        <w:spacing w:after="0" w:line="195" w:lineRule="auto"/>
        <w:tabs>
          <w:tab w:leader="none" w:pos="3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contractual rights to collect on recoveries of acquired Discover loans that are fully charged-off.</w:t>
      </w:r>
    </w:p>
    <w:p>
      <w:pPr>
        <w:spacing w:after="0" w:line="52" w:lineRule="exact"/>
        <w:rPr>
          <w:rFonts w:ascii="Times New Roman" w:cs="Times New Roman" w:eastAsia="Times New Roman" w:hAnsi="Times New Roman"/>
          <w:sz w:val="18"/>
          <w:szCs w:val="18"/>
          <w:color w:val="auto"/>
          <w:vertAlign w:val="superscript"/>
        </w:rPr>
      </w:pPr>
    </w:p>
    <w:p>
      <w:pPr>
        <w:ind w:left="320" w:hanging="316"/>
        <w:spacing w:after="0" w:line="211" w:lineRule="auto"/>
        <w:tabs>
          <w:tab w:leader="none" w:pos="314"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13" w:lineRule="exact"/>
        <w:rPr>
          <w:rFonts w:ascii="Times New Roman" w:cs="Times New Roman" w:eastAsia="Times New Roman" w:hAnsi="Times New Roman"/>
          <w:sz w:val="18"/>
          <w:szCs w:val="18"/>
          <w:color w:val="auto"/>
          <w:vertAlign w:val="superscript"/>
        </w:rPr>
      </w:pPr>
    </w:p>
    <w:p>
      <w:pPr>
        <w:ind w:left="300" w:hanging="296"/>
        <w:spacing w:after="0"/>
        <w:tabs>
          <w:tab w:leader="none" w:pos="3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 net revenue margin is calculated based on annualized total net revenue for the period divided by average interest-earning assets for the period.</w:t>
      </w:r>
    </w:p>
    <w:p>
      <w:pPr>
        <w:spacing w:after="0" w:line="52" w:lineRule="exact"/>
        <w:rPr>
          <w:rFonts w:ascii="Times New Roman" w:cs="Times New Roman" w:eastAsia="Times New Roman" w:hAnsi="Times New Roman"/>
          <w:sz w:val="18"/>
          <w:szCs w:val="18"/>
          <w:color w:val="auto"/>
          <w:vertAlign w:val="superscript"/>
        </w:rPr>
      </w:pPr>
    </w:p>
    <w:p>
      <w:pPr>
        <w:ind w:left="300" w:hanging="296"/>
        <w:spacing w:after="0" w:line="195" w:lineRule="auto"/>
        <w:tabs>
          <w:tab w:leader="none" w:pos="3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Purchase volume consists of purchase transactions, net of returns, for the period, and excludes cash advance and balance transfer transactions.</w:t>
      </w:r>
    </w:p>
    <w:p>
      <w:pPr>
        <w:spacing w:after="0" w:line="52" w:lineRule="exact"/>
        <w:rPr>
          <w:rFonts w:ascii="Times New Roman" w:cs="Times New Roman" w:eastAsia="Times New Roman" w:hAnsi="Times New Roman"/>
          <w:sz w:val="18"/>
          <w:szCs w:val="18"/>
          <w:color w:val="auto"/>
          <w:vertAlign w:val="superscript"/>
        </w:rPr>
      </w:pPr>
    </w:p>
    <w:p>
      <w:pPr>
        <w:jc w:val="both"/>
        <w:ind w:left="320" w:hanging="316"/>
        <w:spacing w:after="0" w:line="223" w:lineRule="auto"/>
        <w:tabs>
          <w:tab w:leader="none" w:pos="314"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Percentages represent period-end loans held for investment in each credit score category. Domestic Card credit scores generally represent FICO scores. These scores are obtained from one of the major credit bureaus at origination and are refreshed monthly thereafter. We approximate non-FICO credit scores to comparable FICO scores for consistency purposes. Balances for which no credit score is available or the credit score is invalid are included in the 660 or below category.</w:t>
      </w:r>
    </w:p>
    <w:p>
      <w:pPr>
        <w:spacing w:after="0" w:line="14" w:lineRule="exact"/>
        <w:rPr>
          <w:rFonts w:ascii="Times New Roman" w:cs="Times New Roman" w:eastAsia="Times New Roman" w:hAnsi="Times New Roman"/>
          <w:sz w:val="18"/>
          <w:szCs w:val="18"/>
          <w:color w:val="auto"/>
          <w:vertAlign w:val="superscript"/>
        </w:rPr>
      </w:pPr>
    </w:p>
    <w:p>
      <w:pPr>
        <w:ind w:left="300" w:hanging="296"/>
        <w:spacing w:after="0"/>
        <w:tabs>
          <w:tab w:leader="none" w:pos="3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Global Payment Network volume includes Discover Network, PULSE Network, Diners Club International and Network Partners transactions.</w:t>
      </w:r>
    </w:p>
    <w:p>
      <w:pPr>
        <w:spacing w:after="0" w:line="52" w:lineRule="exact"/>
        <w:rPr>
          <w:rFonts w:ascii="Times New Roman" w:cs="Times New Roman" w:eastAsia="Times New Roman" w:hAnsi="Times New Roman"/>
          <w:sz w:val="18"/>
          <w:szCs w:val="18"/>
          <w:color w:val="auto"/>
          <w:vertAlign w:val="superscript"/>
        </w:rPr>
      </w:pPr>
    </w:p>
    <w:p>
      <w:pPr>
        <w:ind w:left="320" w:hanging="316"/>
        <w:spacing w:after="0" w:line="219" w:lineRule="auto"/>
        <w:tabs>
          <w:tab w:leader="none" w:pos="314"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Percentages represent period-end loans held for investment in each credit score category. Auto credit scores generally represent average FICO scores obtained from three credit bureaus at the time of application and are not refreshed thereafter. Balances for which no credit score is available or the credit score is invalid are included in the 620 or below category.</w:t>
      </w:r>
    </w:p>
    <w:p>
      <w:pPr>
        <w:spacing w:after="0" w:line="14" w:lineRule="exact"/>
        <w:rPr>
          <w:rFonts w:ascii="Times New Roman" w:cs="Times New Roman" w:eastAsia="Times New Roman" w:hAnsi="Times New Roman"/>
          <w:sz w:val="18"/>
          <w:szCs w:val="18"/>
          <w:color w:val="auto"/>
          <w:vertAlign w:val="superscript"/>
        </w:rPr>
      </w:pPr>
    </w:p>
    <w:p>
      <w:pPr>
        <w:ind w:left="300" w:hanging="296"/>
        <w:spacing w:after="0"/>
        <w:tabs>
          <w:tab w:leader="none" w:pos="3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Criticized exposures correspond to the “Special Mention,” “Substandard” and “Doubtful” asset categories defined by bank regulatory authorities.</w:t>
      </w:r>
    </w:p>
    <w:p>
      <w:pPr>
        <w:spacing w:after="0" w:line="42" w:lineRule="exact"/>
        <w:rPr>
          <w:rFonts w:ascii="Times New Roman" w:cs="Times New Roman" w:eastAsia="Times New Roman" w:hAnsi="Times New Roman"/>
          <w:sz w:val="18"/>
          <w:szCs w:val="18"/>
          <w:color w:val="auto"/>
          <w:vertAlign w:val="superscript"/>
        </w:rPr>
      </w:pPr>
    </w:p>
    <w:p>
      <w:pPr>
        <w:ind w:left="320" w:hanging="316"/>
        <w:spacing w:after="0" w:line="257" w:lineRule="auto"/>
        <w:tabs>
          <w:tab w:leader="none" w:pos="314"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the impact of $348 million, $299 million, $110 million, $140 million and $63 million in Discover integration expenses in Q3 2025, Q2 2025, Q1 2025, Q4 2024 and Q3 2024, respectively, as well as any charges incurred as a result of restructuring activities for the periods presented.</w:t>
      </w:r>
    </w:p>
    <w:p>
      <w:pPr>
        <w:spacing w:after="0" w:line="3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40"/>
          </w:cols>
          <w:pgMar w:left="320" w:top="8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CAPITAL ONE FINANCIAL CORPORATION (COF)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Table 15: Calculation of Regulatory Capital Measures and Reconciliation of Non-GAAP Measures</w:t>
      </w:r>
      <w:r>
        <w:rPr>
          <w:rFonts w:ascii="Times New Roman" w:cs="Times New Roman" w:eastAsia="Times New Roman" w:hAnsi="Times New Roman"/>
          <w:sz w:val="22"/>
          <w:szCs w:val="22"/>
          <w:b w:val="1"/>
          <w:bCs w:val="1"/>
          <w:color w:val="auto"/>
          <w:vertAlign w:val="superscript"/>
        </w:rPr>
        <w:t>(1)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Basel III Standardized Approach</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as noted)</w:t>
            </w:r>
          </w:p>
        </w:tc>
        <w:tc>
          <w:tcPr>
            <w:tcW w:w="960" w:type="dxa"/>
            <w:vAlign w:val="bottom"/>
            <w:gridSpan w:val="3"/>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0"/>
                <w:szCs w:val="10"/>
                <w:color w:val="auto"/>
              </w:rPr>
            </w:pPr>
          </w:p>
        </w:tc>
        <w:tc>
          <w:tcPr>
            <w:tcW w:w="82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980" w:type="dxa"/>
            <w:vAlign w:val="bottom"/>
            <w:gridSpan w:val="3"/>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89"/>
        </w:trPr>
        <w:tc>
          <w:tcPr>
            <w:tcW w:w="6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 Metrics</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excluding AOCI</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114,323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112,368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66,225</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65,823</w:t>
            </w:r>
          </w:p>
        </w:tc>
        <w:tc>
          <w:tcPr>
            <w:tcW w:w="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64,966</w:t>
            </w:r>
          </w:p>
        </w:tc>
        <w:tc>
          <w:tcPr>
            <w:tcW w:w="0" w:type="dxa"/>
            <w:vAlign w:val="bottom"/>
          </w:tcPr>
          <w:p>
            <w:pPr>
              <w:spacing w:after="0"/>
              <w:rPr>
                <w:sz w:val="1"/>
                <w:szCs w:val="1"/>
                <w:color w:val="auto"/>
              </w:rPr>
            </w:pPr>
          </w:p>
        </w:tc>
      </w:tr>
      <w:tr>
        <w:trPr>
          <w:trHeight w:val="20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4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4"/>
                <w:szCs w:val="14"/>
                <w:color w:val="auto"/>
              </w:rPr>
              <w:t>AOCI, net of tax</w:t>
            </w:r>
            <w:r>
              <w:rPr>
                <w:rFonts w:ascii="Times New Roman" w:cs="Times New Roman" w:eastAsia="Times New Roman" w:hAnsi="Times New Roman"/>
                <w:sz w:val="17"/>
                <w:szCs w:val="17"/>
                <w:color w:val="auto"/>
                <w:vertAlign w:val="superscript"/>
              </w:rPr>
              <w:t>(2)</w:t>
            </w:r>
          </w:p>
        </w:tc>
        <w:tc>
          <w:tcPr>
            <w:tcW w:w="18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4"/>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 net of related deferred tax liabilities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(28,575)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(28,052)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(14,792)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(14,786)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(14,816)</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Other Intangible and deferred tax assets, net of deferred tax liabilities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(12,846)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(13,687)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(231)</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18"/>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capital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72,970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70,712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51,205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50,807</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49,956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Tier 1 capital</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40" w:type="dxa"/>
            <w:vAlign w:val="bottom"/>
            <w:gridSpan w:val="2"/>
            <w:vMerge w:val="continue"/>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78,377</w:t>
            </w:r>
          </w:p>
        </w:tc>
        <w:tc>
          <w:tcPr>
            <w:tcW w:w="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76,118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56,050</w:t>
            </w:r>
          </w:p>
        </w:tc>
        <w:tc>
          <w:tcPr>
            <w:tcW w:w="80" w:type="dxa"/>
            <w:vAlign w:val="bottom"/>
          </w:tcPr>
          <w:p>
            <w:pPr>
              <w:spacing w:after="0"/>
              <w:rPr>
                <w:sz w:val="13"/>
                <w:szCs w:val="13"/>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55,652</w:t>
            </w:r>
          </w:p>
        </w:tc>
        <w:tc>
          <w:tcPr>
            <w:tcW w:w="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54,801</w:t>
            </w:r>
          </w:p>
        </w:tc>
        <w:tc>
          <w:tcPr>
            <w:tcW w:w="0" w:type="dxa"/>
            <w:vAlign w:val="bottom"/>
          </w:tcPr>
          <w:p>
            <w:pPr>
              <w:spacing w:after="0"/>
              <w:rPr>
                <w:sz w:val="1"/>
                <w:szCs w:val="1"/>
                <w:color w:val="auto"/>
              </w:rPr>
            </w:pPr>
          </w:p>
        </w:tc>
      </w:tr>
      <w:tr>
        <w:trPr>
          <w:trHeight w:val="20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w:t>
            </w:r>
            <w:r>
              <w:rPr>
                <w:rFonts w:ascii="Times New Roman" w:cs="Times New Roman" w:eastAsia="Times New Roman" w:hAnsi="Times New Roman"/>
                <w:sz w:val="17"/>
                <w:szCs w:val="17"/>
                <w:color w:val="auto"/>
                <w:vertAlign w:val="superscript"/>
              </w:rPr>
              <w:t>(3)</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87,849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85,988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63,926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61,805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61,151</w:t>
            </w:r>
          </w:p>
        </w:tc>
        <w:tc>
          <w:tcPr>
            <w:tcW w:w="0" w:type="dxa"/>
            <w:vAlign w:val="bottom"/>
          </w:tcPr>
          <w:p>
            <w:pPr>
              <w:spacing w:after="0"/>
              <w:rPr>
                <w:sz w:val="1"/>
                <w:szCs w:val="1"/>
                <w:color w:val="auto"/>
              </w:rPr>
            </w:pPr>
          </w:p>
        </w:tc>
      </w:tr>
      <w:tr>
        <w:trPr>
          <w:trHeight w:val="18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Risk-weighted assets</w:t>
            </w:r>
          </w:p>
        </w:tc>
        <w:tc>
          <w:tcPr>
            <w:tcW w:w="18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506,261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503,413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375,538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377,145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368,199</w:t>
            </w:r>
          </w:p>
        </w:tc>
        <w:tc>
          <w:tcPr>
            <w:tcW w:w="0" w:type="dxa"/>
            <w:vAlign w:val="bottom"/>
          </w:tcPr>
          <w:p>
            <w:pPr>
              <w:spacing w:after="0"/>
              <w:rPr>
                <w:sz w:val="1"/>
                <w:szCs w:val="1"/>
                <w:color w:val="auto"/>
              </w:rPr>
            </w:pPr>
          </w:p>
        </w:tc>
      </w:tr>
      <w:tr>
        <w:trPr>
          <w:trHeight w:val="20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average assets</w:t>
            </w:r>
            <w:r>
              <w:rPr>
                <w:rFonts w:ascii="Times New Roman" w:cs="Times New Roman" w:eastAsia="Times New Roman" w:hAnsi="Times New Roman"/>
                <w:sz w:val="17"/>
                <w:szCs w:val="17"/>
                <w:color w:val="auto"/>
                <w:vertAlign w:val="superscript"/>
              </w:rPr>
              <w:t>(4)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622,435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537,581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483,888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480,794</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473,146</w:t>
            </w:r>
          </w:p>
        </w:tc>
        <w:tc>
          <w:tcPr>
            <w:tcW w:w="0" w:type="dxa"/>
            <w:vAlign w:val="bottom"/>
          </w:tcPr>
          <w:p>
            <w:pPr>
              <w:spacing w:after="0"/>
              <w:rPr>
                <w:sz w:val="1"/>
                <w:szCs w:val="1"/>
                <w:color w:val="auto"/>
              </w:rPr>
            </w:pPr>
          </w:p>
        </w:tc>
      </w:tr>
      <w:tr>
        <w:trPr>
          <w:trHeight w:val="18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capital</w:t>
            </w:r>
            <w:r>
              <w:rPr>
                <w:rFonts w:ascii="Times New Roman" w:cs="Times New Roman" w:eastAsia="Times New Roman" w:hAnsi="Times New Roman"/>
                <w:sz w:val="17"/>
                <w:szCs w:val="17"/>
                <w:color w:val="auto"/>
                <w:vertAlign w:val="superscript"/>
              </w:rPr>
              <w:t>(5)</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94"/>
        </w:trPr>
        <w:tc>
          <w:tcPr>
            <w:tcW w:w="64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4"/>
                <w:szCs w:val="14"/>
                <w:color w:val="auto"/>
              </w:rPr>
              <w:t>Tier 1 capital</w:t>
            </w:r>
            <w:r>
              <w:rPr>
                <w:rFonts w:ascii="Times New Roman" w:cs="Times New Roman" w:eastAsia="Times New Roman" w:hAnsi="Times New Roman"/>
                <w:sz w:val="17"/>
                <w:szCs w:val="17"/>
                <w:color w:val="auto"/>
                <w:vertAlign w:val="superscript"/>
              </w:rPr>
              <w:t>(6)</w:t>
            </w:r>
          </w:p>
        </w:tc>
        <w:tc>
          <w:tcPr>
            <w:tcW w:w="180" w:type="dxa"/>
            <w:vAlign w:val="bottom"/>
          </w:tcPr>
          <w:p>
            <w:pPr>
              <w:spacing w:after="0"/>
              <w:rPr>
                <w:sz w:val="16"/>
                <w:szCs w:val="16"/>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4"/>
        </w:trPr>
        <w:tc>
          <w:tcPr>
            <w:tcW w:w="64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Total capital</w:t>
            </w:r>
            <w:r>
              <w:rPr>
                <w:rFonts w:ascii="Times New Roman" w:cs="Times New Roman" w:eastAsia="Times New Roman" w:hAnsi="Times New Roman"/>
                <w:sz w:val="17"/>
                <w:szCs w:val="17"/>
                <w:color w:val="auto"/>
                <w:vertAlign w:val="superscript"/>
              </w:rPr>
              <w:t>(7)</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16.4</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4"/>
        </w:trPr>
        <w:tc>
          <w:tcPr>
            <w:tcW w:w="64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4"/>
                <w:szCs w:val="14"/>
                <w:color w:val="auto"/>
              </w:rPr>
              <w:t>Tier 1 leverage</w:t>
            </w:r>
            <w:r>
              <w:rPr>
                <w:rFonts w:ascii="Times New Roman" w:cs="Times New Roman" w:eastAsia="Times New Roman" w:hAnsi="Times New Roman"/>
                <w:sz w:val="17"/>
                <w:szCs w:val="17"/>
                <w:color w:val="auto"/>
                <w:vertAlign w:val="superscript"/>
              </w:rPr>
              <w:t>(4)</w:t>
            </w:r>
          </w:p>
        </w:tc>
        <w:tc>
          <w:tcPr>
            <w:tcW w:w="180" w:type="dxa"/>
            <w:vAlign w:val="bottom"/>
          </w:tcPr>
          <w:p>
            <w:pPr>
              <w:spacing w:after="0"/>
              <w:rPr>
                <w:sz w:val="16"/>
                <w:szCs w:val="16"/>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11.6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4"/>
        </w:trPr>
        <w:tc>
          <w:tcPr>
            <w:tcW w:w="64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TCE</w:t>
            </w:r>
            <w:r>
              <w:rPr>
                <w:rFonts w:ascii="Times New Roman" w:cs="Times New Roman" w:eastAsia="Times New Roman" w:hAnsi="Times New Roman"/>
                <w:sz w:val="17"/>
                <w:szCs w:val="17"/>
                <w:color w:val="auto"/>
                <w:vertAlign w:val="superscript"/>
              </w:rPr>
              <w:t>(8)</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8.6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40"/>
          </w:cols>
          <w:pgMar w:left="320" w:top="8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Reconciliation of Non-GAAP Measures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following non-GAAP measures consist of our adjusted results that we believe help investors and users of our financial information understand the effect of adjusting items on our selected reported results, however, they may not be comparable to similarly-titled measures reported by other companies. These adjusted results provide alternate measurements of our operating performance, both for the current period and trends across multiple periods. The following tables present reconciliations of these non-GAAP measures to the applicable amounts measured in accordance with GAAP.</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data and as noted)</w:t>
            </w:r>
          </w:p>
        </w:tc>
        <w:tc>
          <w:tcPr>
            <w:tcW w:w="180" w:type="dxa"/>
            <w:vAlign w:val="bottom"/>
          </w:tcPr>
          <w:p>
            <w:pPr>
              <w:spacing w:after="0" w:line="20" w:lineRule="exact"/>
              <w:rPr>
                <w:sz w:val="1"/>
                <w:szCs w:val="1"/>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Pr>
          <w:p>
            <w:pPr>
              <w:spacing w:after="0" w:line="20" w:lineRule="exact"/>
              <w:rPr>
                <w:sz w:val="1"/>
                <w:szCs w:val="1"/>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tcPr>
          <w:p>
            <w:pPr>
              <w:spacing w:after="0" w:line="20" w:lineRule="exact"/>
              <w:rPr>
                <w:sz w:val="1"/>
                <w:szCs w:val="1"/>
                <w:color w:val="auto"/>
              </w:rPr>
            </w:pP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Q1</w:t>
            </w:r>
          </w:p>
        </w:tc>
        <w:tc>
          <w:tcPr>
            <w:tcW w:w="200" w:type="dxa"/>
            <w:vAlign w:val="bottom"/>
          </w:tcPr>
          <w:p>
            <w:pPr>
              <w:spacing w:after="0" w:line="20" w:lineRule="exact"/>
              <w:rPr>
                <w:sz w:val="1"/>
                <w:szCs w:val="1"/>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Q4</w:t>
            </w:r>
          </w:p>
        </w:tc>
        <w:tc>
          <w:tcPr>
            <w:tcW w:w="200" w:type="dxa"/>
            <w:vAlign w:val="bottom"/>
          </w:tcPr>
          <w:p>
            <w:pPr>
              <w:spacing w:after="0" w:line="20" w:lineRule="exact"/>
              <w:rPr>
                <w:sz w:val="1"/>
                <w:szCs w:val="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89"/>
              </w:rPr>
              <w:t>Q3</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diluted earnings per share (“EPS”):</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to common stockholders (GAAP)</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3,086</w:t>
            </w:r>
          </w:p>
        </w:tc>
        <w:tc>
          <w:tcPr>
            <w:tcW w:w="8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(4,340)</w:t>
            </w:r>
          </w:p>
        </w:tc>
        <w:tc>
          <w:tcPr>
            <w:tcW w:w="12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1,325</w:t>
            </w:r>
          </w:p>
        </w:tc>
        <w:tc>
          <w:tcPr>
            <w:tcW w:w="12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1,692</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117</w:t>
            </w:r>
          </w:p>
        </w:tc>
        <w:tc>
          <w:tcPr>
            <w:tcW w:w="12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3,423</w:t>
            </w:r>
          </w:p>
        </w:tc>
        <w:tc>
          <w:tcPr>
            <w:tcW w:w="0" w:type="dxa"/>
            <w:vAlign w:val="bottom"/>
          </w:tcPr>
          <w:p>
            <w:pPr>
              <w:spacing w:after="0"/>
              <w:rPr>
                <w:sz w:val="1"/>
                <w:szCs w:val="1"/>
                <w:color w:val="auto"/>
              </w:rPr>
            </w:pPr>
          </w:p>
        </w:tc>
      </w:tr>
      <w:tr>
        <w:trPr>
          <w:trHeight w:val="200"/>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Initial allowance build for Discover non-PCD loans</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8,767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8,767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Discover integration expenses</w:t>
            </w: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348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757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0"/>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Discover intangible amortization expense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498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753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Discover loan and deposit fair value mark amortization</w:t>
            </w: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Legal reserve activities</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416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4"/>
                <w:szCs w:val="14"/>
                <w:color w:val="auto"/>
              </w:rPr>
              <w:t>Allowance build for Walmart program agreement loss sharing</w:t>
            </w:r>
          </w:p>
        </w:tc>
        <w:tc>
          <w:tcPr>
            <w:tcW w:w="180" w:type="dxa"/>
            <w:vAlign w:val="bottom"/>
          </w:tcPr>
          <w:p>
            <w:pPr>
              <w:spacing w:after="0"/>
              <w:rPr>
                <w:sz w:val="11"/>
                <w:szCs w:val="11"/>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186"/>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termination</w:t>
            </w: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Walmart program agreement termination contra revenue impact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FDIC special assessment</w:t>
            </w:r>
          </w:p>
        </w:tc>
        <w:tc>
          <w:tcPr>
            <w:tcW w:w="18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19"/>
        </w:trPr>
        <w:tc>
          <w:tcPr>
            <w:tcW w:w="4160" w:type="dxa"/>
            <w:vAlign w:val="bottom"/>
            <w:tcBorders>
              <w:top w:val="single" w:sz="8" w:color="CCEEFF"/>
            </w:tcBorders>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Adjusted net income available to common stockholders before income</w:t>
            </w: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4,037</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5,107</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1,633</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1,746</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10,823</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4,411</w:t>
            </w:r>
          </w:p>
        </w:tc>
        <w:tc>
          <w:tcPr>
            <w:tcW w:w="0" w:type="dxa"/>
            <w:vAlign w:val="bottom"/>
          </w:tcPr>
          <w:p>
            <w:pPr>
              <w:spacing w:after="0"/>
              <w:rPr>
                <w:sz w:val="1"/>
                <w:szCs w:val="1"/>
                <w:color w:val="auto"/>
              </w:rPr>
            </w:pPr>
          </w:p>
        </w:tc>
      </w:tr>
      <w:tr>
        <w:trPr>
          <w:trHeight w:val="191"/>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impacts (non-GAAP)</w:t>
            </w: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Income tax impacts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(236)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(2,339)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(2,651)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1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available to common stockholders (non-GAAP)</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3,801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2,768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1,557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1,733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8,172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4,170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Diluted weighted-average common shares outstanding (in millions)</w:t>
            </w: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639.5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505.6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384.0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383.7</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510.9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383.7</w:t>
            </w:r>
          </w:p>
        </w:tc>
        <w:tc>
          <w:tcPr>
            <w:tcW w:w="0" w:type="dxa"/>
            <w:vAlign w:val="bottom"/>
          </w:tcPr>
          <w:p>
            <w:pPr>
              <w:spacing w:after="0"/>
              <w:rPr>
                <w:sz w:val="1"/>
                <w:szCs w:val="1"/>
                <w:color w:val="auto"/>
              </w:rPr>
            </w:pPr>
          </w:p>
        </w:tc>
      </w:tr>
      <w:tr>
        <w:trPr>
          <w:trHeight w:val="191"/>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EPS (GAAP)</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4.83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0.23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Impact of adjustments noted above</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1.12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14.06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0.61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15.77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1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diluted EPS (non-GAAP)</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5.95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16.00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efficiency ratio:</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Non-interest expense (GAAP)</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8,263</w:t>
            </w:r>
          </w:p>
        </w:tc>
        <w:tc>
          <w:tcPr>
            <w:tcW w:w="8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6,991</w:t>
            </w:r>
          </w:p>
        </w:tc>
        <w:tc>
          <w:tcPr>
            <w:tcW w:w="12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5,902</w:t>
            </w:r>
          </w:p>
        </w:tc>
        <w:tc>
          <w:tcPr>
            <w:tcW w:w="12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6,089</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5,314</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21,156</w:t>
            </w:r>
          </w:p>
        </w:tc>
        <w:tc>
          <w:tcPr>
            <w:tcW w:w="12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15,397</w:t>
            </w:r>
          </w:p>
        </w:tc>
        <w:tc>
          <w:tcPr>
            <w:tcW w:w="0" w:type="dxa"/>
            <w:vAlign w:val="bottom"/>
          </w:tcPr>
          <w:p>
            <w:pPr>
              <w:spacing w:after="0"/>
              <w:rPr>
                <w:sz w:val="1"/>
                <w:szCs w:val="1"/>
                <w:color w:val="auto"/>
              </w:rPr>
            </w:pPr>
          </w:p>
        </w:tc>
      </w:tr>
      <w:tr>
        <w:trPr>
          <w:trHeight w:val="200"/>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Discover integration expenses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(348)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(757)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Discover intangible amortization expense</w:t>
            </w: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(498)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(753)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Legal reserve activities</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FDIC special assessment</w:t>
            </w:r>
          </w:p>
        </w:tc>
        <w:tc>
          <w:tcPr>
            <w:tcW w:w="18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non-interest expense (non-GAAP)</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7,417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6,396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5,594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5,874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5,260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19,407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15,262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 (GAAP)</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15,359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12,492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10,190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10,014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37,851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28,922</w:t>
            </w:r>
          </w:p>
        </w:tc>
        <w:tc>
          <w:tcPr>
            <w:tcW w:w="0" w:type="dxa"/>
            <w:vAlign w:val="bottom"/>
          </w:tcPr>
          <w:p>
            <w:pPr>
              <w:spacing w:after="0"/>
              <w:rPr>
                <w:sz w:val="1"/>
                <w:szCs w:val="1"/>
                <w:color w:val="auto"/>
              </w:rPr>
            </w:pPr>
          </w:p>
        </w:tc>
      </w:tr>
      <w:tr>
        <w:trPr>
          <w:trHeight w:val="18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Discover loan and deposit fair value mark amortization</w:t>
            </w:r>
          </w:p>
        </w:tc>
        <w:tc>
          <w:tcPr>
            <w:tcW w:w="180" w:type="dxa"/>
            <w:vAlign w:val="bottom"/>
          </w:tcPr>
          <w:p>
            <w:pPr>
              <w:spacing w:after="0"/>
              <w:rPr>
                <w:sz w:val="16"/>
                <w:szCs w:val="16"/>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190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4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Walmart program agreement termination contra revenue impact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revenue (non-GAAP)</w:t>
            </w: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15,464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12,577</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10,190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10,014</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38,041</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28,949</w:t>
            </w:r>
          </w:p>
        </w:tc>
        <w:tc>
          <w:tcPr>
            <w:tcW w:w="0" w:type="dxa"/>
            <w:vAlign w:val="bottom"/>
          </w:tcPr>
          <w:p>
            <w:pPr>
              <w:spacing w:after="0"/>
              <w:rPr>
                <w:sz w:val="1"/>
                <w:szCs w:val="1"/>
                <w:color w:val="auto"/>
              </w:rPr>
            </w:pPr>
          </w:p>
        </w:tc>
      </w:tr>
      <w:tr>
        <w:trPr>
          <w:trHeight w:val="870"/>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data and as noted)</w:t>
            </w:r>
          </w:p>
        </w:tc>
        <w:tc>
          <w:tcPr>
            <w:tcW w:w="26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Q3</w:t>
            </w:r>
          </w:p>
        </w:tc>
        <w:tc>
          <w:tcPr>
            <w:tcW w:w="220" w:type="dxa"/>
            <w:vAlign w:val="bottom"/>
          </w:tcPr>
          <w:p>
            <w:pPr>
              <w:spacing w:after="0"/>
              <w:rPr>
                <w:sz w:val="18"/>
                <w:szCs w:val="18"/>
                <w:color w:val="auto"/>
              </w:rPr>
            </w:pPr>
          </w:p>
        </w:tc>
        <w:tc>
          <w:tcPr>
            <w:tcW w:w="820" w:type="dxa"/>
            <w:vAlign w:val="bottom"/>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Q2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Efficiency ratio (GAAP)</w:t>
            </w:r>
          </w:p>
        </w:tc>
        <w:tc>
          <w:tcPr>
            <w:tcW w:w="26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53.80%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55.96%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Impact of adjustments noted above</w:t>
            </w:r>
          </w:p>
        </w:tc>
        <w:tc>
          <w:tcPr>
            <w:tcW w:w="2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(584)bps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(511)bps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efficiency ratio (non-GAAP)</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47.96%</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50.85%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efficiency ratio:</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3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 (GAAP)</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6,860</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5,646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Discover integration expenses</w:t>
            </w:r>
          </w:p>
        </w:tc>
        <w:tc>
          <w:tcPr>
            <w:tcW w:w="260" w:type="dxa"/>
            <w:vAlign w:val="bottom"/>
          </w:tcPr>
          <w:p>
            <w:pPr>
              <w:spacing w:after="0"/>
              <w:rPr>
                <w:sz w:val="16"/>
                <w:szCs w:val="16"/>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(348)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Discover intangible amortization expense</w:t>
            </w:r>
          </w:p>
        </w:tc>
        <w:tc>
          <w:tcPr>
            <w:tcW w:w="260" w:type="dxa"/>
            <w:vAlign w:val="bottom"/>
          </w:tcPr>
          <w:p>
            <w:pPr>
              <w:spacing w:after="0"/>
              <w:rPr>
                <w:sz w:val="16"/>
                <w:szCs w:val="16"/>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(498)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(255)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Legal reserve activities</w:t>
            </w:r>
          </w:p>
        </w:tc>
        <w:tc>
          <w:tcPr>
            <w:tcW w:w="26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FDIC special assessment</w:t>
            </w:r>
          </w:p>
        </w:tc>
        <w:tc>
          <w:tcPr>
            <w:tcW w:w="26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Adjusted operating expense (non-GAAP)</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6,014</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5,051</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net revenue (GAAP)</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15,359</w:t>
            </w:r>
          </w:p>
        </w:tc>
        <w:tc>
          <w:tcPr>
            <w:tcW w:w="80" w:type="dxa"/>
            <w:vAlign w:val="bottom"/>
          </w:tcPr>
          <w:p>
            <w:pPr>
              <w:spacing w:after="0"/>
              <w:rPr>
                <w:sz w:val="24"/>
                <w:szCs w:val="24"/>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12,492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28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Discover loan and deposit fair value mark</w:t>
            </w:r>
          </w:p>
        </w:tc>
        <w:tc>
          <w:tcPr>
            <w:tcW w:w="260" w:type="dxa"/>
            <w:vAlign w:val="bottom"/>
          </w:tcPr>
          <w:p>
            <w:pPr>
              <w:spacing w:after="0"/>
              <w:rPr>
                <w:sz w:val="13"/>
                <w:szCs w:val="13"/>
                <w:color w:val="auto"/>
              </w:rPr>
            </w:pP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80" w:type="dxa"/>
            <w:vAlign w:val="bottom"/>
            <w:gridSpan w:val="2"/>
          </w:tcPr>
          <w:p>
            <w:pPr>
              <w:ind w:left="220"/>
              <w:spacing w:after="0" w:line="143" w:lineRule="exact"/>
              <w:rPr>
                <w:sz w:val="20"/>
                <w:szCs w:val="20"/>
                <w:color w:val="auto"/>
              </w:rPr>
            </w:pPr>
            <w:r>
              <w:rPr>
                <w:rFonts w:ascii="Times New Roman" w:cs="Times New Roman" w:eastAsia="Times New Roman" w:hAnsi="Times New Roman"/>
                <w:sz w:val="14"/>
                <w:szCs w:val="14"/>
                <w:color w:val="auto"/>
              </w:rPr>
              <w:t>Walmart program agreement termination contra</w:t>
            </w:r>
          </w:p>
        </w:tc>
        <w:tc>
          <w:tcPr>
            <w:tcW w:w="26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revenue impact</w:t>
            </w: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Adjusted net revenue (non-GAAP)</w:t>
            </w:r>
          </w:p>
        </w:tc>
        <w:tc>
          <w:tcPr>
            <w:tcW w:w="2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15,464</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12,577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efficiency ratio (GAAP)</w:t>
            </w:r>
          </w:p>
        </w:tc>
        <w:tc>
          <w:tcPr>
            <w:tcW w:w="26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44.66%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45.20%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Impact of adjustments noted above</w:t>
            </w:r>
          </w:p>
        </w:tc>
        <w:tc>
          <w:tcPr>
            <w:tcW w:w="2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(577)bps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(504)bps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efficiency ratio (non-GAAP)</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38.89%</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40.16%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interest margin:</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3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income (GAAP)</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12,404</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9,995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Loan and deposit fair value mark amortization</w:t>
            </w:r>
          </w:p>
        </w:tc>
        <w:tc>
          <w:tcPr>
            <w:tcW w:w="260" w:type="dxa"/>
            <w:vAlign w:val="bottom"/>
          </w:tcPr>
          <w:p>
            <w:pPr>
              <w:spacing w:after="0"/>
              <w:rPr>
                <w:sz w:val="16"/>
                <w:szCs w:val="16"/>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8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Walmart program agreement termination contra</w:t>
            </w:r>
          </w:p>
        </w:tc>
        <w:tc>
          <w:tcPr>
            <w:tcW w:w="260" w:type="dxa"/>
            <w:vAlign w:val="bottom"/>
          </w:tcPr>
          <w:p>
            <w:pPr>
              <w:spacing w:after="0"/>
              <w:rPr>
                <w:sz w:val="13"/>
                <w:szCs w:val="13"/>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revenue impact</w:t>
            </w: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Adjusted net interest income (non-GAAP)</w:t>
            </w:r>
          </w:p>
        </w:tc>
        <w:tc>
          <w:tcPr>
            <w:tcW w:w="2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12,509</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10,080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interest earning assets</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593,247</w:t>
            </w:r>
          </w:p>
        </w:tc>
        <w:tc>
          <w:tcPr>
            <w:tcW w:w="80" w:type="dxa"/>
            <w:vAlign w:val="bottom"/>
          </w:tcPr>
          <w:p>
            <w:pPr>
              <w:spacing w:after="0"/>
              <w:rPr>
                <w:sz w:val="24"/>
                <w:szCs w:val="24"/>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524,929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2"/>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margin (GAAP)</w:t>
            </w:r>
          </w:p>
        </w:tc>
        <w:tc>
          <w:tcPr>
            <w:tcW w:w="26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8.36%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7.62%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Impact of adjustments noted above</w:t>
            </w:r>
          </w:p>
        </w:tc>
        <w:tc>
          <w:tcPr>
            <w:tcW w:w="2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 bps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bps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interest margin (non-GAAP)</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28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8.43%</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7.68%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-4255770</wp:posOffset>
            </wp:positionV>
            <wp:extent cx="7138035" cy="123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-3728720</wp:posOffset>
            </wp:positionV>
            <wp:extent cx="7138035" cy="123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-3481705</wp:posOffset>
            </wp:positionV>
            <wp:extent cx="7138035" cy="123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-3234690</wp:posOffset>
            </wp:positionV>
            <wp:extent cx="7138035" cy="123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-2707640</wp:posOffset>
            </wp:positionV>
            <wp:extent cx="713803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2057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-2032635</wp:posOffset>
            </wp:positionV>
            <wp:extent cx="7138035" cy="123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-1506220</wp:posOffset>
            </wp:positionV>
            <wp:extent cx="7138035" cy="123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-1259205</wp:posOffset>
            </wp:positionV>
            <wp:extent cx="7138035" cy="123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-666115</wp:posOffset>
            </wp:positionV>
            <wp:extent cx="7138035" cy="123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-410845</wp:posOffset>
            </wp:positionV>
            <wp:extent cx="7138035" cy="123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7138035" cy="147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-929640</wp:posOffset>
            </wp:positionV>
            <wp:extent cx="7138035" cy="131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-1785620</wp:posOffset>
            </wp:positionV>
            <wp:extent cx="7138035" cy="147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-2296160</wp:posOffset>
            </wp:positionV>
            <wp:extent cx="7138035" cy="131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-2962910</wp:posOffset>
            </wp:positionV>
            <wp:extent cx="7138035" cy="131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-3983990</wp:posOffset>
            </wp:positionV>
            <wp:extent cx="7138035" cy="131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-4511040</wp:posOffset>
            </wp:positionV>
            <wp:extent cx="7138035" cy="131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40" w:type="dxa"/>
            <w:vAlign w:val="bottom"/>
          </w:tcPr>
          <w:p>
            <w:pPr>
              <w:spacing w:after="0"/>
              <w:rPr>
                <w:sz w:val="15"/>
                <w:szCs w:val="15"/>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3"/>
        </w:trPr>
        <w:tc>
          <w:tcPr>
            <w:tcW w:w="740" w:type="dxa"/>
            <w:vAlign w:val="bottom"/>
            <w:vMerge w:val="restart"/>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line="20" w:lineRule="exact"/>
              <w:rPr>
                <w:sz w:val="1"/>
                <w:szCs w:val="1"/>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Q4</w:t>
            </w:r>
          </w:p>
        </w:tc>
        <w:tc>
          <w:tcPr>
            <w:tcW w:w="240" w:type="dxa"/>
            <w:vAlign w:val="bottom"/>
          </w:tcPr>
          <w:p>
            <w:pPr>
              <w:spacing w:after="0" w:line="20" w:lineRule="exact"/>
              <w:rPr>
                <w:sz w:val="1"/>
                <w:szCs w:val="1"/>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65"/>
        </w:trPr>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59.02%</w:t>
            </w: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59.75%</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53.07%</w:t>
            </w: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55.89%</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53.24%</w:t>
            </w:r>
          </w:p>
        </w:tc>
        <w:tc>
          <w:tcPr>
            <w:tcW w:w="0" w:type="dxa"/>
            <w:vAlign w:val="bottom"/>
          </w:tcPr>
          <w:p>
            <w:pPr>
              <w:spacing w:after="0"/>
              <w:rPr>
                <w:sz w:val="1"/>
                <w:szCs w:val="1"/>
                <w:color w:val="auto"/>
              </w:rPr>
            </w:pPr>
          </w:p>
        </w:tc>
      </w:tr>
      <w:tr>
        <w:trPr>
          <w:trHeight w:val="194"/>
        </w:trPr>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(308)bps</w:t>
            </w: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(211)bps</w:t>
            </w:r>
          </w:p>
        </w:tc>
        <w:tc>
          <w:tcPr>
            <w:tcW w:w="2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(54)bps</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(489)bps</w:t>
            </w:r>
          </w:p>
        </w:tc>
        <w:tc>
          <w:tcPr>
            <w:tcW w:w="1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(52)bps</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55.94%</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57.64%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52.53%</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51.02%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52.72%</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4,700</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4,714</w:t>
            </w:r>
          </w:p>
        </w:tc>
        <w:tc>
          <w:tcPr>
            <w:tcW w:w="120" w:type="dxa"/>
            <w:vAlign w:val="bottom"/>
          </w:tcPr>
          <w:p>
            <w:pPr>
              <w:spacing w:after="0"/>
              <w:rPr>
                <w:sz w:val="24"/>
                <w:szCs w:val="24"/>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4,201</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17,206</w:t>
            </w:r>
          </w:p>
        </w:tc>
        <w:tc>
          <w:tcPr>
            <w:tcW w:w="120" w:type="dxa"/>
            <w:vAlign w:val="bottom"/>
          </w:tcPr>
          <w:p>
            <w:pPr>
              <w:spacing w:after="0"/>
              <w:rPr>
                <w:sz w:val="24"/>
                <w:szCs w:val="24"/>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12,210</w:t>
            </w:r>
          </w:p>
        </w:tc>
        <w:tc>
          <w:tcPr>
            <w:tcW w:w="0" w:type="dxa"/>
            <w:vAlign w:val="bottom"/>
          </w:tcPr>
          <w:p>
            <w:pPr>
              <w:spacing w:after="0"/>
              <w:rPr>
                <w:sz w:val="1"/>
                <w:szCs w:val="1"/>
                <w:color w:val="auto"/>
              </w:rPr>
            </w:pPr>
          </w:p>
        </w:tc>
      </w:tr>
      <w:tr>
        <w:trPr>
          <w:trHeight w:val="194"/>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(757)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4"/>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(753)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(198)</w:t>
            </w:r>
          </w:p>
        </w:tc>
        <w:tc>
          <w:tcPr>
            <w:tcW w:w="24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4,392</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4,499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4,147</w:t>
            </w:r>
          </w:p>
        </w:tc>
        <w:tc>
          <w:tcPr>
            <w:tcW w:w="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15,457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12,075</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10,190</w:t>
            </w:r>
          </w:p>
        </w:tc>
        <w:tc>
          <w:tcPr>
            <w:tcW w:w="120" w:type="dxa"/>
            <w:vAlign w:val="bottom"/>
          </w:tcPr>
          <w:p>
            <w:pPr>
              <w:spacing w:after="0"/>
              <w:rPr>
                <w:sz w:val="24"/>
                <w:szCs w:val="24"/>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10,014</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37,851</w:t>
            </w:r>
          </w:p>
        </w:tc>
        <w:tc>
          <w:tcPr>
            <w:tcW w:w="120" w:type="dxa"/>
            <w:vAlign w:val="bottom"/>
          </w:tcPr>
          <w:p>
            <w:pPr>
              <w:spacing w:after="0"/>
              <w:rPr>
                <w:sz w:val="24"/>
                <w:szCs w:val="24"/>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28,922</w:t>
            </w:r>
          </w:p>
        </w:tc>
        <w:tc>
          <w:tcPr>
            <w:tcW w:w="0" w:type="dxa"/>
            <w:vAlign w:val="bottom"/>
          </w:tcPr>
          <w:p>
            <w:pPr>
              <w:spacing w:after="0"/>
              <w:rPr>
                <w:sz w:val="1"/>
                <w:szCs w:val="1"/>
                <w:color w:val="auto"/>
              </w:rPr>
            </w:pPr>
          </w:p>
        </w:tc>
      </w:tr>
      <w:tr>
        <w:trPr>
          <w:trHeight w:val="259"/>
        </w:trPr>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5"/>
        </w:trPr>
        <w:tc>
          <w:tcPr>
            <w:tcW w:w="7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2"/>
                <w:szCs w:val="22"/>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65"/>
        </w:trPr>
        <w:tc>
          <w:tcPr>
            <w:tcW w:w="7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40" w:type="dxa"/>
            <w:vAlign w:val="bottom"/>
            <w:vMerge w:val="continue"/>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10,190</w:t>
            </w:r>
          </w:p>
        </w:tc>
        <w:tc>
          <w:tcPr>
            <w:tcW w:w="12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10,014</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38,041</w:t>
            </w:r>
          </w:p>
        </w:tc>
        <w:tc>
          <w:tcPr>
            <w:tcW w:w="12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28,949</w:t>
            </w:r>
          </w:p>
        </w:tc>
        <w:tc>
          <w:tcPr>
            <w:tcW w:w="0" w:type="dxa"/>
            <w:vAlign w:val="bottom"/>
          </w:tcPr>
          <w:p>
            <w:pPr>
              <w:spacing w:after="0"/>
              <w:rPr>
                <w:sz w:val="1"/>
                <w:szCs w:val="1"/>
                <w:color w:val="auto"/>
              </w:rPr>
            </w:pPr>
          </w:p>
        </w:tc>
      </w:tr>
      <w:tr>
        <w:trPr>
          <w:trHeight w:val="390"/>
        </w:trPr>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47.00%</w:t>
            </w:r>
          </w:p>
        </w:tc>
        <w:tc>
          <w:tcPr>
            <w:tcW w:w="2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46.26%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41.95%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45.46%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42.22%</w:t>
            </w:r>
          </w:p>
        </w:tc>
        <w:tc>
          <w:tcPr>
            <w:tcW w:w="0" w:type="dxa"/>
            <w:vAlign w:val="bottom"/>
          </w:tcPr>
          <w:p>
            <w:pPr>
              <w:spacing w:after="0"/>
              <w:rPr>
                <w:sz w:val="1"/>
                <w:szCs w:val="1"/>
                <w:color w:val="auto"/>
              </w:rPr>
            </w:pPr>
          </w:p>
        </w:tc>
      </w:tr>
      <w:tr>
        <w:trPr>
          <w:trHeight w:val="194"/>
        </w:trPr>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(308)bps</w:t>
            </w: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(211)bps</w:t>
            </w:r>
          </w:p>
        </w:tc>
        <w:tc>
          <w:tcPr>
            <w:tcW w:w="2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(54)bps</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(482)bps</w:t>
            </w:r>
          </w:p>
        </w:tc>
        <w:tc>
          <w:tcPr>
            <w:tcW w:w="1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(51)bps</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43.92%</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44.15%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41.41%</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40.63%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41.71%</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8,013</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8,098</w:t>
            </w:r>
          </w:p>
        </w:tc>
        <w:tc>
          <w:tcPr>
            <w:tcW w:w="120" w:type="dxa"/>
            <w:vAlign w:val="bottom"/>
          </w:tcPr>
          <w:p>
            <w:pPr>
              <w:spacing w:after="0"/>
              <w:rPr>
                <w:sz w:val="24"/>
                <w:szCs w:val="24"/>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8,076</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30,412</w:t>
            </w:r>
          </w:p>
        </w:tc>
        <w:tc>
          <w:tcPr>
            <w:tcW w:w="120" w:type="dxa"/>
            <w:vAlign w:val="bottom"/>
          </w:tcPr>
          <w:p>
            <w:pPr>
              <w:spacing w:after="0"/>
              <w:rPr>
                <w:sz w:val="24"/>
                <w:szCs w:val="24"/>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23,110</w:t>
            </w:r>
          </w:p>
        </w:tc>
        <w:tc>
          <w:tcPr>
            <w:tcW w:w="0" w:type="dxa"/>
            <w:vAlign w:val="bottom"/>
          </w:tcPr>
          <w:p>
            <w:pPr>
              <w:spacing w:after="0"/>
              <w:rPr>
                <w:sz w:val="1"/>
                <w:szCs w:val="1"/>
                <w:color w:val="auto"/>
              </w:rPr>
            </w:pPr>
          </w:p>
        </w:tc>
      </w:tr>
      <w:tr>
        <w:trPr>
          <w:trHeight w:val="194"/>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9"/>
        </w:trPr>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2"/>
                <w:szCs w:val="22"/>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65"/>
        </w:trPr>
        <w:tc>
          <w:tcPr>
            <w:tcW w:w="7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8,013</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40" w:type="dxa"/>
            <w:vAlign w:val="bottom"/>
            <w:vMerge w:val="continue"/>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8,098</w:t>
            </w:r>
          </w:p>
        </w:tc>
        <w:tc>
          <w:tcPr>
            <w:tcW w:w="12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8,076</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30,602</w:t>
            </w:r>
          </w:p>
        </w:tc>
        <w:tc>
          <w:tcPr>
            <w:tcW w:w="12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23,137</w:t>
            </w:r>
          </w:p>
        </w:tc>
        <w:tc>
          <w:tcPr>
            <w:tcW w:w="0" w:type="dxa"/>
            <w:vAlign w:val="bottom"/>
          </w:tcPr>
          <w:p>
            <w:pPr>
              <w:spacing w:after="0"/>
              <w:rPr>
                <w:sz w:val="1"/>
                <w:szCs w:val="1"/>
                <w:color w:val="auto"/>
              </w:rPr>
            </w:pPr>
          </w:p>
        </w:tc>
      </w:tr>
      <w:tr>
        <w:trPr>
          <w:trHeight w:val="390"/>
        </w:trPr>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462,771</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460,640</w:t>
            </w:r>
          </w:p>
        </w:tc>
        <w:tc>
          <w:tcPr>
            <w:tcW w:w="120" w:type="dxa"/>
            <w:vAlign w:val="bottom"/>
          </w:tcPr>
          <w:p>
            <w:pPr>
              <w:spacing w:after="0"/>
              <w:rPr>
                <w:sz w:val="24"/>
                <w:szCs w:val="24"/>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454,484</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527,461</w:t>
            </w:r>
          </w:p>
        </w:tc>
        <w:tc>
          <w:tcPr>
            <w:tcW w:w="120" w:type="dxa"/>
            <w:vAlign w:val="bottom"/>
          </w:tcPr>
          <w:p>
            <w:pPr>
              <w:spacing w:after="0"/>
              <w:rPr>
                <w:sz w:val="24"/>
                <w:szCs w:val="24"/>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451,078</w:t>
            </w:r>
          </w:p>
        </w:tc>
        <w:tc>
          <w:tcPr>
            <w:tcW w:w="0" w:type="dxa"/>
            <w:vAlign w:val="bottom"/>
          </w:tcPr>
          <w:p>
            <w:pPr>
              <w:spacing w:after="0"/>
              <w:rPr>
                <w:sz w:val="1"/>
                <w:szCs w:val="1"/>
                <w:color w:val="auto"/>
              </w:rPr>
            </w:pPr>
          </w:p>
        </w:tc>
      </w:tr>
      <w:tr>
        <w:trPr>
          <w:trHeight w:val="402"/>
        </w:trPr>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6.93%</w:t>
            </w:r>
          </w:p>
        </w:tc>
        <w:tc>
          <w:tcPr>
            <w:tcW w:w="240" w:type="dxa"/>
            <w:vAlign w:val="bottom"/>
          </w:tcPr>
          <w:p>
            <w:pPr>
              <w:spacing w:after="0"/>
              <w:rPr>
                <w:sz w:val="24"/>
                <w:szCs w:val="24"/>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7.11%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194"/>
        </w:trPr>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 bps</w:t>
            </w: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bps</w:t>
            </w:r>
          </w:p>
        </w:tc>
        <w:tc>
          <w:tcPr>
            <w:tcW w:w="2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bps</w:t>
            </w:r>
          </w:p>
        </w:tc>
        <w:tc>
          <w:tcPr>
            <w:tcW w:w="10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 bps</w:t>
            </w:r>
          </w:p>
        </w:tc>
        <w:tc>
          <w:tcPr>
            <w:tcW w:w="16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1bps</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color w:val="auto"/>
              </w:rPr>
              <w:t>6.93%</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7.11%</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7.74%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-7620</wp:posOffset>
            </wp:positionV>
            <wp:extent cx="6172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-1629410</wp:posOffset>
            </wp:positionV>
            <wp:extent cx="6172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-2979420</wp:posOffset>
            </wp:positionV>
            <wp:extent cx="6172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-3111500</wp:posOffset>
            </wp:positionV>
            <wp:extent cx="617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-4000500</wp:posOffset>
            </wp:positionV>
            <wp:extent cx="6172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-4131945</wp:posOffset>
            </wp:positionV>
            <wp:extent cx="6172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ectPr>
          <w:pgSz w:w="11900" w:h="16838" w:orient="portrait"/>
          <w:cols w:equalWidth="0" w:num="2">
            <w:col w:w="5700" w:space="260"/>
            <w:col w:w="5280"/>
          </w:cols>
          <w:pgMar w:left="320" w:top="9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Reconciliation of Non-GAAP Measures</w:t>
      </w:r>
    </w:p>
    <w:p>
      <w:pPr>
        <w:spacing w:after="0" w:line="2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following summarizes our non-GAAP measures. While these non-GAAP measures are widely used by investors, analysts and bank regulatory agencies to assess the operating performance and capital position of financial services companies, they may not be comparable to similarly-titled measures reported by other companies. The following table presents reconciliations of these non-GAAP measures to the applicable amounts measured in accordance with GAAP.</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Q3</w:t>
            </w:r>
          </w:p>
        </w:tc>
        <w:tc>
          <w:tcPr>
            <w:tcW w:w="22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22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9"/>
              </w:rPr>
              <w:t>Q1</w:t>
            </w:r>
          </w:p>
        </w:tc>
        <w:tc>
          <w:tcPr>
            <w:tcW w:w="24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6"/>
                <w:szCs w:val="16"/>
                <w:color w:val="auto"/>
              </w:rPr>
            </w:pPr>
          </w:p>
        </w:tc>
        <w:tc>
          <w:tcPr>
            <w:tcW w:w="7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Q3</w:t>
            </w:r>
          </w:p>
        </w:tc>
        <w:tc>
          <w:tcPr>
            <w:tcW w:w="0" w:type="dxa"/>
            <w:vAlign w:val="bottom"/>
          </w:tcPr>
          <w:p>
            <w:pPr>
              <w:spacing w:after="0"/>
              <w:rPr>
                <w:sz w:val="1"/>
                <w:szCs w:val="1"/>
                <w:color w:val="auto"/>
              </w:rPr>
            </w:pPr>
          </w:p>
        </w:tc>
      </w:tr>
      <w:tr>
        <w:trPr>
          <w:trHeight w:val="23"/>
        </w:trPr>
        <w:tc>
          <w:tcPr>
            <w:tcW w:w="4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 Provision Earnings</w:t>
            </w: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net revenue</w:t>
            </w:r>
          </w:p>
        </w:tc>
        <w:tc>
          <w:tcPr>
            <w:tcW w:w="202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15,359</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12,492</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10,190</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10,014</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Non-interest expense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(8,263)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(6,991)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(5,902)</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(6,089)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(5,314)</w:t>
            </w: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line="188" w:lineRule="exact"/>
              <w:rPr>
                <w:sz w:val="20"/>
                <w:szCs w:val="20"/>
                <w:color w:val="auto"/>
              </w:rPr>
            </w:pPr>
            <w:r>
              <w:rPr>
                <w:rFonts w:ascii="Times New Roman" w:cs="Times New Roman" w:eastAsia="Times New Roman" w:hAnsi="Times New Roman"/>
                <w:sz w:val="14"/>
                <w:szCs w:val="14"/>
                <w:color w:val="auto"/>
              </w:rPr>
              <w:t>Pre-provision earnings</w:t>
            </w:r>
            <w:r>
              <w:rPr>
                <w:rFonts w:ascii="Times New Roman" w:cs="Times New Roman" w:eastAsia="Times New Roman" w:hAnsi="Times New Roman"/>
                <w:sz w:val="17"/>
                <w:szCs w:val="17"/>
                <w:color w:val="auto"/>
                <w:vertAlign w:val="superscript"/>
              </w:rPr>
              <w:t>(9)</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7,096</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5,501</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4,098</w:t>
            </w:r>
          </w:p>
        </w:tc>
        <w:tc>
          <w:tcPr>
            <w:tcW w:w="6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4,101</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(Period-End)</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Stockholders’ equity</w:t>
            </w:r>
          </w:p>
        </w:tc>
        <w:tc>
          <w:tcPr>
            <w:tcW w:w="202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113,813</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110,956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63,542</w:t>
            </w:r>
          </w:p>
        </w:tc>
        <w:tc>
          <w:tcPr>
            <w:tcW w:w="6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60,784</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62,925</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 and other intangible assets</w:t>
            </w:r>
            <w:r>
              <w:rPr>
                <w:rFonts w:ascii="Times New Roman" w:cs="Times New Roman" w:eastAsia="Times New Roman" w:hAnsi="Times New Roman"/>
                <w:sz w:val="17"/>
                <w:szCs w:val="17"/>
                <w:color w:val="auto"/>
                <w:vertAlign w:val="superscript"/>
              </w:rPr>
              <w:t>(10)</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(41,537)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(42,012)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(15,139)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(15,157)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(15,214)</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Noncumulative perpetual preferred stock</w:t>
            </w:r>
          </w:p>
        </w:tc>
        <w:tc>
          <w:tcPr>
            <w:tcW w:w="1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(5,407)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(5,407)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(4,845)</w:t>
            </w: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(4,845)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(4,845)</w:t>
            </w:r>
          </w:p>
        </w:tc>
        <w:tc>
          <w:tcPr>
            <w:tcW w:w="0" w:type="dxa"/>
            <w:vAlign w:val="bottom"/>
          </w:tcPr>
          <w:p>
            <w:pPr>
              <w:spacing w:after="0"/>
              <w:rPr>
                <w:sz w:val="1"/>
                <w:szCs w:val="1"/>
                <w:color w:val="auto"/>
              </w:rPr>
            </w:pPr>
          </w:p>
        </w:tc>
      </w:tr>
      <w:tr>
        <w:trPr>
          <w:trHeight w:val="218"/>
        </w:trPr>
        <w:tc>
          <w:tcPr>
            <w:tcW w:w="41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Tangible common equity</w:t>
            </w:r>
            <w:r>
              <w:rPr>
                <w:rFonts w:ascii="Times New Roman" w:cs="Times New Roman" w:eastAsia="Times New Roman" w:hAnsi="Times New Roman"/>
                <w:sz w:val="17"/>
                <w:szCs w:val="17"/>
                <w:color w:val="auto"/>
                <w:vertAlign w:val="superscript"/>
              </w:rPr>
              <w:t>(11)</w:t>
            </w:r>
          </w:p>
        </w:tc>
        <w:tc>
          <w:tcPr>
            <w:tcW w:w="1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66,869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63,537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43,558</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40,782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42,866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(Average)</w:t>
            </w: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Stockholders’ equity</w:t>
            </w:r>
          </w:p>
        </w:tc>
        <w:tc>
          <w:tcPr>
            <w:tcW w:w="202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112,819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86,918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62,240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61,764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61,289</w:t>
            </w:r>
          </w:p>
        </w:tc>
        <w:tc>
          <w:tcPr>
            <w:tcW w:w="0" w:type="dxa"/>
            <w:vAlign w:val="bottom"/>
          </w:tcPr>
          <w:p>
            <w:pPr>
              <w:spacing w:after="0"/>
              <w:rPr>
                <w:sz w:val="1"/>
                <w:szCs w:val="1"/>
                <w:color w:val="auto"/>
              </w:rPr>
            </w:pPr>
          </w:p>
        </w:tc>
      </w:tr>
      <w:tr>
        <w:trPr>
          <w:trHeight w:val="194"/>
        </w:trPr>
        <w:tc>
          <w:tcPr>
            <w:tcW w:w="4180" w:type="dxa"/>
            <w:vAlign w:val="bottom"/>
          </w:tcPr>
          <w:p>
            <w:pPr>
              <w:ind w:left="220"/>
              <w:spacing w:after="0" w:line="194" w:lineRule="exact"/>
              <w:rPr>
                <w:sz w:val="20"/>
                <w:szCs w:val="20"/>
                <w:color w:val="auto"/>
              </w:rPr>
            </w:pPr>
            <w:r>
              <w:rPr>
                <w:rFonts w:ascii="Times New Roman" w:cs="Times New Roman" w:eastAsia="Times New Roman" w:hAnsi="Times New Roman"/>
                <w:sz w:val="14"/>
                <w:szCs w:val="14"/>
                <w:color w:val="auto"/>
              </w:rPr>
              <w:t>Goodwill and other intangible assets</w:t>
            </w:r>
            <w:r>
              <w:rPr>
                <w:rFonts w:ascii="Times New Roman" w:cs="Times New Roman" w:eastAsia="Times New Roman" w:hAnsi="Times New Roman"/>
                <w:sz w:val="17"/>
                <w:szCs w:val="17"/>
                <w:color w:val="auto"/>
                <w:vertAlign w:val="superscript"/>
              </w:rPr>
              <w:t>(10)</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(41,815)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(29,114)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(15,149)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(15,195)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(15,225)</w:t>
            </w:r>
          </w:p>
        </w:tc>
        <w:tc>
          <w:tcPr>
            <w:tcW w:w="0" w:type="dxa"/>
            <w:vAlign w:val="bottom"/>
          </w:tcPr>
          <w:p>
            <w:pPr>
              <w:spacing w:after="0"/>
              <w:rPr>
                <w:sz w:val="1"/>
                <w:szCs w:val="1"/>
                <w:color w:val="auto"/>
              </w:rPr>
            </w:pPr>
          </w:p>
        </w:tc>
      </w:tr>
      <w:tr>
        <w:trPr>
          <w:trHeight w:val="194"/>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Noncumulative perpetual preferred stock</w:t>
            </w: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(5,407)</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(5,355)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(4,845)</w:t>
            </w:r>
          </w:p>
        </w:tc>
        <w:tc>
          <w:tcPr>
            <w:tcW w:w="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(4,845)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(4,845)</w:t>
            </w: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line="188" w:lineRule="exact"/>
              <w:rPr>
                <w:sz w:val="20"/>
                <w:szCs w:val="20"/>
                <w:color w:val="auto"/>
              </w:rPr>
            </w:pPr>
            <w:r>
              <w:rPr>
                <w:rFonts w:ascii="Times New Roman" w:cs="Times New Roman" w:eastAsia="Times New Roman" w:hAnsi="Times New Roman"/>
                <w:sz w:val="14"/>
                <w:szCs w:val="14"/>
                <w:color w:val="auto"/>
              </w:rPr>
              <w:t>Tangible common equity</w:t>
            </w:r>
            <w:r>
              <w:rPr>
                <w:rFonts w:ascii="Times New Roman" w:cs="Times New Roman" w:eastAsia="Times New Roman" w:hAnsi="Times New Roman"/>
                <w:sz w:val="17"/>
                <w:szCs w:val="17"/>
                <w:color w:val="auto"/>
                <w:vertAlign w:val="superscript"/>
              </w:rPr>
              <w:t>(11)</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65,597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52,449</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42,246</w:t>
            </w:r>
          </w:p>
        </w:tc>
        <w:tc>
          <w:tcPr>
            <w:tcW w:w="6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41,724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41,219</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Tangible Common Equity (Average)</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202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3,086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(4,340)</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1,325</w:t>
            </w:r>
          </w:p>
        </w:tc>
        <w:tc>
          <w:tcPr>
            <w:tcW w:w="6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1,692</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Tangible common equity (Average)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65,597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52,449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42,246</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41,724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41,219</w:t>
            </w: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line="188" w:lineRule="exact"/>
              <w:rPr>
                <w:sz w:val="20"/>
                <w:szCs w:val="20"/>
                <w:color w:val="auto"/>
              </w:rPr>
            </w:pPr>
            <w:r>
              <w:rPr>
                <w:rFonts w:ascii="Times New Roman" w:cs="Times New Roman" w:eastAsia="Times New Roman" w:hAnsi="Times New Roman"/>
                <w:sz w:val="14"/>
                <w:szCs w:val="14"/>
                <w:color w:val="auto"/>
              </w:rPr>
              <w:t>Return on tangible common equity</w:t>
            </w:r>
            <w:r>
              <w:rPr>
                <w:rFonts w:ascii="Times New Roman" w:cs="Times New Roman" w:eastAsia="Times New Roman" w:hAnsi="Times New Roman"/>
                <w:sz w:val="17"/>
                <w:szCs w:val="17"/>
                <w:color w:val="auto"/>
                <w:vertAlign w:val="superscript"/>
              </w:rPr>
              <w:t>(11)(12)</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18.82 %</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12.55 %</w:t>
            </w: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9.77 %</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16.42 %</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Assets (Period-End)</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02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661,877</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658,968</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493,604</w:t>
            </w:r>
          </w:p>
        </w:tc>
        <w:tc>
          <w:tcPr>
            <w:tcW w:w="6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490,144</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486,433</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 and other intangible assets</w:t>
            </w:r>
            <w:r>
              <w:rPr>
                <w:rFonts w:ascii="Times New Roman" w:cs="Times New Roman" w:eastAsia="Times New Roman" w:hAnsi="Times New Roman"/>
                <w:sz w:val="17"/>
                <w:szCs w:val="17"/>
                <w:color w:val="auto"/>
                <w:vertAlign w:val="superscript"/>
              </w:rPr>
              <w:t>(10)</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(41,537)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(42,012)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(15,139)</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(15,157)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(15,214)</w:t>
            </w: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line="188" w:lineRule="exact"/>
              <w:rPr>
                <w:sz w:val="20"/>
                <w:szCs w:val="20"/>
                <w:color w:val="auto"/>
              </w:rPr>
            </w:pPr>
            <w:r>
              <w:rPr>
                <w:rFonts w:ascii="Times New Roman" w:cs="Times New Roman" w:eastAsia="Times New Roman" w:hAnsi="Times New Roman"/>
                <w:sz w:val="14"/>
                <w:szCs w:val="14"/>
                <w:color w:val="auto"/>
              </w:rPr>
              <w:t>Tangible assets</w:t>
            </w:r>
            <w:r>
              <w:rPr>
                <w:rFonts w:ascii="Times New Roman" w:cs="Times New Roman" w:eastAsia="Times New Roman" w:hAnsi="Times New Roman"/>
                <w:sz w:val="17"/>
                <w:szCs w:val="17"/>
                <w:color w:val="auto"/>
                <w:vertAlign w:val="superscript"/>
              </w:rPr>
              <w:t>(11)</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620,340</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616,956</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478,465</w:t>
            </w:r>
          </w:p>
        </w:tc>
        <w:tc>
          <w:tcPr>
            <w:tcW w:w="6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474,987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471,219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1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Q3</w:t>
            </w:r>
          </w:p>
        </w:tc>
        <w:tc>
          <w:tcPr>
            <w:tcW w:w="20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9"/>
              </w:rPr>
              <w:t>Q2</w:t>
            </w:r>
          </w:p>
        </w:tc>
        <w:tc>
          <w:tcPr>
            <w:tcW w:w="20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Q1</w:t>
            </w:r>
          </w:p>
        </w:tc>
        <w:tc>
          <w:tcPr>
            <w:tcW w:w="20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Q4</w:t>
            </w:r>
          </w:p>
        </w:tc>
        <w:tc>
          <w:tcPr>
            <w:tcW w:w="200" w:type="dxa"/>
            <w:vAlign w:val="bottom"/>
          </w:tcPr>
          <w:p>
            <w:pPr>
              <w:spacing w:after="0"/>
              <w:rPr>
                <w:sz w:val="16"/>
                <w:szCs w:val="16"/>
                <w:color w:val="auto"/>
              </w:rPr>
            </w:pPr>
          </w:p>
        </w:tc>
        <w:tc>
          <w:tcPr>
            <w:tcW w:w="7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Q3</w:t>
            </w:r>
          </w:p>
        </w:tc>
      </w:tr>
      <w:tr>
        <w:trPr>
          <w:trHeight w:val="23"/>
        </w:trPr>
        <w:tc>
          <w:tcPr>
            <w:tcW w:w="6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Assets (Average)</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657,858</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572,446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491,817</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488,300</w:t>
            </w:r>
          </w:p>
        </w:tc>
        <w:tc>
          <w:tcPr>
            <w:tcW w:w="6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481,219</w:t>
            </w:r>
          </w:p>
        </w:tc>
      </w:tr>
      <w:tr>
        <w:trPr>
          <w:trHeight w:val="200"/>
        </w:trPr>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 and other intangible assets</w:t>
            </w:r>
            <w:r>
              <w:rPr>
                <w:rFonts w:ascii="Times New Roman" w:cs="Times New Roman" w:eastAsia="Times New Roman" w:hAnsi="Times New Roman"/>
                <w:sz w:val="17"/>
                <w:szCs w:val="17"/>
                <w:color w:val="auto"/>
                <w:vertAlign w:val="superscript"/>
              </w:rPr>
              <w:t>(10)</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(41,815)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(15,195)</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(15,225)</w:t>
            </w:r>
          </w:p>
        </w:tc>
      </w:tr>
      <w:tr>
        <w:trPr>
          <w:trHeight w:val="187"/>
        </w:trPr>
        <w:tc>
          <w:tcPr>
            <w:tcW w:w="64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4"/>
                <w:szCs w:val="14"/>
                <w:color w:val="auto"/>
              </w:rPr>
              <w:t>Tangible assets</w:t>
            </w:r>
            <w:r>
              <w:rPr>
                <w:rFonts w:ascii="Times New Roman" w:cs="Times New Roman" w:eastAsia="Times New Roman" w:hAnsi="Times New Roman"/>
                <w:sz w:val="17"/>
                <w:szCs w:val="17"/>
                <w:color w:val="auto"/>
                <w:vertAlign w:val="superscript"/>
              </w:rPr>
              <w:t>(11)</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616,043</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543,332</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476,668</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473,105</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465,994</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Tangible Assets (Average)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9"/>
        </w:trPr>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3,192</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6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w:t>
            </w:r>
          </w:p>
        </w:tc>
      </w:tr>
      <w:tr>
        <w:trPr>
          <w:trHeight w:val="200"/>
        </w:trPr>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Tangible Assets (Average)</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616,043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543,332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476,668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473,105</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465,994</w:t>
            </w:r>
          </w:p>
        </w:tc>
      </w:tr>
      <w:tr>
        <w:trPr>
          <w:trHeight w:val="187"/>
        </w:trPr>
        <w:tc>
          <w:tcPr>
            <w:tcW w:w="64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4"/>
                <w:szCs w:val="14"/>
                <w:color w:val="auto"/>
              </w:rPr>
              <w:t>Return on tangible assets</w:t>
            </w:r>
            <w:r>
              <w:rPr>
                <w:rFonts w:ascii="Times New Roman" w:cs="Times New Roman" w:eastAsia="Times New Roman" w:hAnsi="Times New Roman"/>
                <w:sz w:val="17"/>
                <w:szCs w:val="17"/>
                <w:color w:val="auto"/>
                <w:vertAlign w:val="superscript"/>
              </w:rPr>
              <w:t>(11)(13)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2.07%</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0.92%</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1.53%</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TCE Ratio</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9"/>
        </w:trPr>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Tangible common equity (Period-end)</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66,869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63,537</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43,558</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40,782</w:t>
            </w:r>
          </w:p>
        </w:tc>
        <w:tc>
          <w:tcPr>
            <w:tcW w:w="6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42,866</w:t>
            </w:r>
          </w:p>
        </w:tc>
      </w:tr>
      <w:tr>
        <w:trPr>
          <w:trHeight w:val="200"/>
        </w:trPr>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Tangible Assets (Period-end)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620,340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616,956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478,465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474,987</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471,219</w:t>
            </w:r>
          </w:p>
        </w:tc>
      </w:tr>
      <w:tr>
        <w:trPr>
          <w:trHeight w:val="187"/>
        </w:trPr>
        <w:tc>
          <w:tcPr>
            <w:tcW w:w="64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4"/>
                <w:szCs w:val="14"/>
                <w:color w:val="auto"/>
              </w:rPr>
              <w:t>TCE Ratio</w:t>
            </w:r>
            <w:r>
              <w:rPr>
                <w:rFonts w:ascii="Times New Roman" w:cs="Times New Roman" w:eastAsia="Times New Roman" w:hAnsi="Times New Roman"/>
                <w:sz w:val="17"/>
                <w:szCs w:val="17"/>
                <w:color w:val="auto"/>
                <w:vertAlign w:val="superscript"/>
              </w:rPr>
              <w:t>(11)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10.8%</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8.6%</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9.1%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Book Value per Common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9"/>
        </w:trPr>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Tangible common equity (Period-end)</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66,869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63,537</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43,558</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40,782</w:t>
            </w:r>
          </w:p>
        </w:tc>
        <w:tc>
          <w:tcPr>
            <w:tcW w:w="6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42,866</w:t>
            </w:r>
          </w:p>
        </w:tc>
      </w:tr>
      <w:tr>
        <w:trPr>
          <w:trHeight w:val="200"/>
        </w:trPr>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Outstanding Common Shares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635.7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r>
      <w:tr>
        <w:trPr>
          <w:trHeight w:val="187"/>
        </w:trPr>
        <w:tc>
          <w:tcPr>
            <w:tcW w:w="64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4"/>
                <w:szCs w:val="14"/>
                <w:color w:val="auto"/>
              </w:rPr>
              <w:t>Tangible book value per common share</w:t>
            </w:r>
            <w:r>
              <w:rPr>
                <w:rFonts w:ascii="Times New Roman" w:cs="Times New Roman" w:eastAsia="Times New Roman" w:hAnsi="Times New Roman"/>
                <w:sz w:val="17"/>
                <w:szCs w:val="17"/>
                <w:color w:val="auto"/>
                <w:vertAlign w:val="superscript"/>
              </w:rPr>
              <w:t>(11)</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105.18</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106.97</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112.36</w:t>
            </w:r>
          </w:p>
        </w:tc>
      </w:tr>
      <w:tr>
        <w:trPr>
          <w:trHeight w:val="20"/>
        </w:trPr>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w:t>
      </w:r>
    </w:p>
    <w:p>
      <w:pPr>
        <w:spacing w:after="0" w:line="73" w:lineRule="exact"/>
        <w:rPr>
          <w:sz w:val="20"/>
          <w:szCs w:val="20"/>
          <w:color w:val="auto"/>
        </w:rPr>
      </w:pPr>
    </w:p>
    <w:p>
      <w:pPr>
        <w:ind w:left="300" w:hanging="296"/>
        <w:spacing w:after="0"/>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Regulatory capital metrics and capital ratios as of September 30, 2025 are preliminary and therefore subject to change.</w:t>
      </w:r>
    </w:p>
    <w:p>
      <w:pPr>
        <w:spacing w:after="0" w:line="52" w:lineRule="exact"/>
        <w:rPr>
          <w:rFonts w:ascii="Times New Roman" w:cs="Times New Roman" w:eastAsia="Times New Roman" w:hAnsi="Times New Roman"/>
          <w:sz w:val="18"/>
          <w:szCs w:val="18"/>
          <w:color w:val="auto"/>
          <w:vertAlign w:val="superscript"/>
        </w:rPr>
      </w:pPr>
    </w:p>
    <w:p>
      <w:pPr>
        <w:ind w:left="300" w:hanging="296"/>
        <w:spacing w:after="0" w:line="195" w:lineRule="auto"/>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certain components of AOCI in accordance with rules applicable to Category III institutions.</w:t>
      </w:r>
    </w:p>
    <w:p>
      <w:pPr>
        <w:spacing w:after="0" w:line="52" w:lineRule="exact"/>
        <w:rPr>
          <w:rFonts w:ascii="Times New Roman" w:cs="Times New Roman" w:eastAsia="Times New Roman" w:hAnsi="Times New Roman"/>
          <w:sz w:val="18"/>
          <w:szCs w:val="18"/>
          <w:color w:val="auto"/>
          <w:vertAlign w:val="superscript"/>
        </w:rPr>
      </w:pPr>
    </w:p>
    <w:p>
      <w:pPr>
        <w:ind w:left="300" w:hanging="296"/>
        <w:spacing w:after="0" w:line="195" w:lineRule="auto"/>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 capital equals the sum of Tier 1 capital and Tier 2 capital.</w:t>
      </w:r>
    </w:p>
    <w:p>
      <w:pPr>
        <w:spacing w:after="0" w:line="42" w:lineRule="exact"/>
        <w:rPr>
          <w:rFonts w:ascii="Times New Roman" w:cs="Times New Roman" w:eastAsia="Times New Roman" w:hAnsi="Times New Roman"/>
          <w:sz w:val="18"/>
          <w:szCs w:val="18"/>
          <w:color w:val="auto"/>
          <w:vertAlign w:val="superscript"/>
        </w:rPr>
      </w:pPr>
    </w:p>
    <w:p>
      <w:pPr>
        <w:ind w:left="320" w:hanging="316"/>
        <w:spacing w:after="0" w:line="257" w:lineRule="auto"/>
        <w:tabs>
          <w:tab w:leader="none" w:pos="308"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average assets for the purpose of calculating our Tier 1 leverage ratio represents total average assets adjusted for amounts that are deducted from Tier 1 capital, predominately goodwill and intangible assets. Tier 1 leverage ratio is a regulatory capital measure calculated based on Tier 1 capital divided by adjusted average assets.</w:t>
      </w:r>
    </w:p>
    <w:p>
      <w:pPr>
        <w:spacing w:after="0" w:line="2" w:lineRule="exact"/>
        <w:rPr>
          <w:rFonts w:ascii="Times New Roman" w:cs="Times New Roman" w:eastAsia="Times New Roman" w:hAnsi="Times New Roman"/>
          <w:sz w:val="9"/>
          <w:szCs w:val="9"/>
          <w:color w:val="auto"/>
        </w:rPr>
      </w:pPr>
    </w:p>
    <w:p>
      <w:pPr>
        <w:ind w:left="300" w:hanging="296"/>
        <w:spacing w:after="0"/>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Common equity Tier 1 capital ratio is a regulatory capital measure calculated based on common equity Tier 1 capital divided by risk-weighted assets.</w:t>
      </w:r>
    </w:p>
    <w:p>
      <w:pPr>
        <w:spacing w:after="0" w:line="52" w:lineRule="exact"/>
        <w:rPr>
          <w:rFonts w:ascii="Times New Roman" w:cs="Times New Roman" w:eastAsia="Times New Roman" w:hAnsi="Times New Roman"/>
          <w:sz w:val="18"/>
          <w:szCs w:val="18"/>
          <w:color w:val="auto"/>
          <w:vertAlign w:val="superscript"/>
        </w:rPr>
      </w:pPr>
    </w:p>
    <w:p>
      <w:pPr>
        <w:ind w:left="300" w:hanging="296"/>
        <w:spacing w:after="0" w:line="195" w:lineRule="auto"/>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Tier 1 capital ratio is a regulatory capital measure calculated based on Tier 1 capital divided by risk-weighted assets.</w:t>
      </w:r>
    </w:p>
    <w:p>
      <w:pPr>
        <w:spacing w:after="0" w:line="52" w:lineRule="exact"/>
        <w:rPr>
          <w:rFonts w:ascii="Times New Roman" w:cs="Times New Roman" w:eastAsia="Times New Roman" w:hAnsi="Times New Roman"/>
          <w:sz w:val="18"/>
          <w:szCs w:val="18"/>
          <w:color w:val="auto"/>
          <w:vertAlign w:val="superscript"/>
        </w:rPr>
      </w:pPr>
    </w:p>
    <w:p>
      <w:pPr>
        <w:ind w:left="300" w:hanging="296"/>
        <w:spacing w:after="0" w:line="195" w:lineRule="auto"/>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Total capital ratio is a regulatory capital measure calculated based on total capital divided by risk-weighted assets.</w:t>
      </w:r>
    </w:p>
    <w:p>
      <w:pPr>
        <w:spacing w:after="0" w:line="42" w:lineRule="exact"/>
        <w:rPr>
          <w:rFonts w:ascii="Times New Roman" w:cs="Times New Roman" w:eastAsia="Times New Roman" w:hAnsi="Times New Roman"/>
          <w:sz w:val="18"/>
          <w:szCs w:val="18"/>
          <w:color w:val="auto"/>
          <w:vertAlign w:val="superscript"/>
        </w:rPr>
      </w:pPr>
    </w:p>
    <w:p>
      <w:pPr>
        <w:ind w:left="300" w:hanging="296"/>
        <w:spacing w:after="0"/>
        <w:tabs>
          <w:tab w:leader="none" w:pos="30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TCE ratio is a Non-GAAP measure calculated based on TCE divided by tangible assets.</w:t>
      </w:r>
    </w:p>
    <w:p>
      <w:pPr>
        <w:spacing w:after="0" w:line="17" w:lineRule="exact"/>
        <w:rPr>
          <w:rFonts w:ascii="Times New Roman" w:cs="Times New Roman" w:eastAsia="Times New Roman" w:hAnsi="Times New Roman"/>
          <w:sz w:val="9"/>
          <w:szCs w:val="9"/>
          <w:color w:val="auto"/>
        </w:rPr>
      </w:pPr>
    </w:p>
    <w:p>
      <w:pPr>
        <w:ind w:left="300" w:hanging="296"/>
        <w:spacing w:after="0"/>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Management believes that this financial metric is useful in assessing the ability of a lending institution to generate income in excess of its provision for credit losses.</w:t>
      </w:r>
    </w:p>
    <w:p>
      <w:pPr>
        <w:spacing w:after="0" w:line="52" w:lineRule="exact"/>
        <w:rPr>
          <w:rFonts w:ascii="Times New Roman" w:cs="Times New Roman" w:eastAsia="Times New Roman" w:hAnsi="Times New Roman"/>
          <w:sz w:val="18"/>
          <w:szCs w:val="18"/>
          <w:color w:val="auto"/>
          <w:vertAlign w:val="superscript"/>
        </w:rPr>
      </w:pPr>
    </w:p>
    <w:p>
      <w:pPr>
        <w:ind w:left="300" w:hanging="296"/>
        <w:spacing w:after="0" w:line="195" w:lineRule="auto"/>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impact of related deferred taxes</w:t>
      </w:r>
      <w:r>
        <w:rPr>
          <w:rFonts w:ascii="Times New Roman" w:cs="Times New Roman" w:eastAsia="Times New Roman" w:hAnsi="Times New Roman"/>
          <w:sz w:val="12"/>
          <w:szCs w:val="12"/>
          <w:color w:val="auto"/>
        </w:rPr>
        <w:t>.</w:t>
      </w:r>
    </w:p>
    <w:p>
      <w:pPr>
        <w:spacing w:after="0" w:line="52" w:lineRule="exact"/>
        <w:rPr>
          <w:rFonts w:ascii="Times New Roman" w:cs="Times New Roman" w:eastAsia="Times New Roman" w:hAnsi="Times New Roman"/>
          <w:sz w:val="18"/>
          <w:szCs w:val="18"/>
          <w:color w:val="auto"/>
          <w:vertAlign w:val="superscript"/>
        </w:rPr>
      </w:pPr>
    </w:p>
    <w:p>
      <w:pPr>
        <w:ind w:left="300" w:hanging="296"/>
        <w:spacing w:after="0" w:line="195" w:lineRule="auto"/>
        <w:tabs>
          <w:tab w:leader="none" w:pos="3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Management believes that this financial metric is useful in assessing capital adequacy and the level of returns generated.</w:t>
      </w:r>
    </w:p>
    <w:p>
      <w:pPr>
        <w:spacing w:after="0" w:line="52" w:lineRule="exact"/>
        <w:rPr>
          <w:rFonts w:ascii="Times New Roman" w:cs="Times New Roman" w:eastAsia="Times New Roman" w:hAnsi="Times New Roman"/>
          <w:sz w:val="18"/>
          <w:szCs w:val="18"/>
          <w:color w:val="auto"/>
          <w:vertAlign w:val="superscript"/>
        </w:rPr>
      </w:pPr>
    </w:p>
    <w:p>
      <w:pPr>
        <w:ind w:left="320" w:hanging="316"/>
        <w:spacing w:after="0" w:line="211" w:lineRule="auto"/>
        <w:tabs>
          <w:tab w:leader="none" w:pos="314"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Return on average tangible common equity is a non-GAAP measure calculated based on annualized net income (loss) available to common stockholders less annualized income (loss) from discontinued operations, net of tax, for the period, divided by average TCE.</w:t>
      </w:r>
    </w:p>
    <w:p>
      <w:pPr>
        <w:spacing w:after="0" w:line="39" w:lineRule="exact"/>
        <w:rPr>
          <w:rFonts w:ascii="Times New Roman" w:cs="Times New Roman" w:eastAsia="Times New Roman" w:hAnsi="Times New Roman"/>
          <w:sz w:val="18"/>
          <w:szCs w:val="18"/>
          <w:color w:val="auto"/>
          <w:vertAlign w:val="superscript"/>
        </w:rPr>
      </w:pPr>
    </w:p>
    <w:p>
      <w:pPr>
        <w:ind w:left="320" w:hanging="316"/>
        <w:spacing w:after="0" w:line="228" w:lineRule="auto"/>
        <w:tabs>
          <w:tab w:leader="none" w:pos="314"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Return on average tangible assets is a non-GAAP measure calculated based on annualized income (loss) from continuing operations, net of tax, for the period divided by average tangible assets for the period.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sectPr>
      <w:pgSz w:w="11900" w:h="16838" w:orient="portrait"/>
      <w:cols w:equalWidth="0" w:num="1">
        <w:col w:w="11240"/>
      </w:cols>
      <w:pgMar w:left="320" w:top="10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2025-10-21T15:23:53Z</dcterms:created>
  <dcterms:modified xsi:type="dcterms:W3CDTF">2025-10-21T15:23:53Z</dcterms:modified>
</cp:coreProperties>
</file>