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22776d8a12b.htm"/>
      <w:bookmarkStart w:id="1" w:name="ksd522776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12(g)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One Financial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54-1719854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1680 Capital One Drive</w:t>
            </w:r>
          </w:p>
          <w:p>
            <w:pPr>
              <w:pStyle w:val="TableContents"/>
              <w:bidi w:val="0"/>
              <w:spacing w:before="0" w:after="20"/>
              <w:jc w:val="center"/>
              <w:rPr>
                <w:rFonts w:ascii="Times New Roman" w:hAnsi="Times New Roman"/>
                <w:b/>
                <w:sz w:val="20"/>
              </w:rPr>
            </w:pPr>
            <w:r>
              <w:rPr>
                <w:rFonts w:ascii="Times New Roman" w:hAnsi="Times New Roman"/>
                <w:b/>
                <w:sz w:val="20"/>
              </w:rPr>
              <w:t>McLean, Virginia 22102</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22102</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4" w:type="dxa"/>
            <w:tcBorders/>
          </w:tcPr>
          <w:p>
            <w:pPr>
              <w:pStyle w:val="TableContents"/>
              <w:bidi w:val="0"/>
              <w:spacing w:before="0" w:after="283"/>
              <w:jc w:val="center"/>
              <w:rPr>
                <w:b/>
              </w:rPr>
            </w:pPr>
            <w:r>
              <w:rPr>
                <w:b/>
              </w:rPr>
              <w:t>4.326% Fixed-to-Floating Rate Senior Notes Due 2032</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New York Stock Exchange</w:t>
            </w:r>
          </w:p>
        </w:tc>
      </w:tr>
      <w:tr>
        <w:trPr/>
        <w:tc>
          <w:tcPr>
            <w:tcW w:w="5154" w:type="dxa"/>
            <w:tcBorders/>
          </w:tcPr>
          <w:p>
            <w:pPr>
              <w:pStyle w:val="TableContents"/>
              <w:bidi w:val="0"/>
              <w:spacing w:before="0" w:after="283"/>
              <w:jc w:val="center"/>
              <w:rPr>
                <w:b/>
              </w:rPr>
            </w:pPr>
            <w:r>
              <w:rPr>
                <w:b/>
              </w:rPr>
              <w:t>4.832% Fixed-to-Floating Rate Senior Notes Due 2037</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New York Stock Exchange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333-277813 </w:t>
      </w:r>
    </w:p>
    <w:p>
      <w:pPr>
        <w:pStyle w:val="TextBody"/>
        <w:bidi w:val="0"/>
        <w:spacing w:before="0" w:after="0"/>
        <w:jc w:val="center"/>
        <w:rPr>
          <w:rFonts w:ascii="Times New Roman" w:hAnsi="Times New Roman"/>
          <w:b/>
          <w:sz w:val="16"/>
        </w:rPr>
      </w:pPr>
      <w:r>
        <w:rPr>
          <w:rFonts w:ascii="Times New Roman" w:hAnsi="Times New Roman"/>
          <w:b/>
          <w:sz w:val="16"/>
        </w:rPr>
        <w:t xml:space="preserve">(if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The securities to be registered hereby are 750,000,000 aggregate principal amount of 4.326% Fixed-to-Floating Rate Senior Notes due 2032 (the “</w:t>
      </w:r>
      <w:r>
        <w:rPr>
          <w:rFonts w:ascii="Times New Roman" w:hAnsi="Times New Roman"/>
          <w:sz w:val="20"/>
          <w:u w:val="single"/>
        </w:rPr>
        <w:t>2032 Fixed-to-Floating Rate Notes</w:t>
      </w:r>
      <w:r>
        <w:rPr>
          <w:rFonts w:ascii="Times New Roman" w:hAnsi="Times New Roman"/>
          <w:sz w:val="20"/>
        </w:rPr>
        <w:t>”) and 750,000,000 aggregate principal amount of 4.832% Fixed-to-Floating Rate Senior Notes due 2037 (the “</w:t>
      </w:r>
      <w:r>
        <w:rPr>
          <w:rFonts w:ascii="Times New Roman" w:hAnsi="Times New Roman"/>
          <w:sz w:val="20"/>
          <w:u w:val="single"/>
        </w:rPr>
        <w:t>2037 Fixed-to-Floating Rate Notes</w:t>
      </w:r>
      <w:r>
        <w:rPr>
          <w:rFonts w:ascii="Times New Roman" w:hAnsi="Times New Roman"/>
          <w:sz w:val="20"/>
        </w:rPr>
        <w:t>” and, together with the 2032 Fixed-to-Floating Rate Notes, the “</w:t>
      </w:r>
      <w:r>
        <w:rPr>
          <w:rFonts w:ascii="Times New Roman" w:hAnsi="Times New Roman"/>
          <w:sz w:val="20"/>
          <w:u w:val="single"/>
        </w:rPr>
        <w:t>Notes</w:t>
      </w:r>
      <w:r>
        <w:rPr>
          <w:rFonts w:ascii="Times New Roman" w:hAnsi="Times New Roman"/>
          <w:sz w:val="20"/>
        </w:rPr>
        <w:t>”) of Capital One Financial Corporation (the “</w:t>
      </w:r>
      <w:r>
        <w:rPr>
          <w:rFonts w:ascii="Times New Roman" w:hAnsi="Times New Roman"/>
          <w:sz w:val="20"/>
          <w:u w:val="single"/>
        </w:rPr>
        <w:t>Company</w:t>
      </w:r>
      <w:r>
        <w:rPr>
          <w:rFonts w:ascii="Times New Roman" w:hAnsi="Times New Roman"/>
          <w:sz w:val="20"/>
        </w:rPr>
        <w:t>”). The descriptions set forth under the section “Description of the Notes” in the prospectus supplement dated September 9, 2026, as filed with the Securities and Exchange Commission (the “</w:t>
      </w:r>
      <w:r>
        <w:rPr>
          <w:rFonts w:ascii="Times New Roman" w:hAnsi="Times New Roman"/>
          <w:sz w:val="20"/>
          <w:u w:val="single"/>
        </w:rPr>
        <w:t>Commission</w:t>
      </w:r>
      <w:r>
        <w:rPr>
          <w:rFonts w:ascii="Times New Roman" w:hAnsi="Times New Roman"/>
          <w:sz w:val="20"/>
        </w:rPr>
        <w:t>”) on September 10, 2026 pursuant to Rule 424(b) under the Securities Act of 1933, as amended, to the prospectus (the “</w:t>
      </w:r>
      <w:r>
        <w:rPr>
          <w:rFonts w:ascii="Times New Roman" w:hAnsi="Times New Roman"/>
          <w:sz w:val="20"/>
          <w:u w:val="single"/>
        </w:rPr>
        <w:t>Base Prospectus</w:t>
      </w:r>
      <w:r>
        <w:rPr>
          <w:rFonts w:ascii="Times New Roman" w:hAnsi="Times New Roman"/>
          <w:sz w:val="20"/>
        </w:rPr>
        <w:t xml:space="preserve">”) included in the Company’s automatic shelf registration statement on Form S-3 (No. 333-277813), as filed with the Commission on March 11, 2024, and the descriptions set forth under the section “Description of Debt Securities” of the Base Prospectus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a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0"/>
        <w:gridCol w:w="760"/>
        <w:gridCol w:w="8585"/>
      </w:tblGrid>
      <w:tr>
        <w:trPr/>
        <w:tc>
          <w:tcPr>
            <w:tcW w:w="860" w:type="dxa"/>
            <w:tcBorders/>
            <w:vAlign w:val="center"/>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858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0" w:type="dxa"/>
            <w:tcBorders/>
            <w:vAlign w:val="bottom"/>
          </w:tcPr>
          <w:p>
            <w:pPr>
              <w:pStyle w:val="TableContents"/>
              <w:bidi w:val="0"/>
              <w:spacing w:before="0" w:after="283"/>
              <w:jc w:val="left"/>
              <w:rPr/>
            </w:pPr>
            <w:r>
              <w:rPr/>
              <w:t>  </w:t>
            </w:r>
          </w:p>
        </w:tc>
        <w:tc>
          <w:tcPr>
            <w:tcW w:w="85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4.1</w:t>
            </w:r>
          </w:p>
        </w:tc>
        <w:tc>
          <w:tcPr>
            <w:tcW w:w="760" w:type="dxa"/>
            <w:tcBorders/>
            <w:vAlign w:val="bottom"/>
          </w:tcPr>
          <w:p>
            <w:pPr>
              <w:pStyle w:val="TableContents"/>
              <w:bidi w:val="0"/>
              <w:spacing w:before="0" w:after="283"/>
              <w:jc w:val="left"/>
              <w:rPr/>
            </w:pPr>
            <w:r>
              <w:rPr/>
              <w:t>  </w:t>
            </w:r>
          </w:p>
        </w:tc>
        <w:tc>
          <w:tcPr>
            <w:tcW w:w="8585" w:type="dxa"/>
            <w:tcBorders/>
          </w:tcPr>
          <w:p>
            <w:pPr>
              <w:pStyle w:val="TableContents"/>
              <w:bidi w:val="0"/>
              <w:spacing w:before="0" w:after="283"/>
              <w:jc w:val="left"/>
              <w:rPr/>
            </w:pPr>
            <w:hyperlink r:id="rId2">
              <w:r>
                <w:rPr>
                  <w:rStyle w:val="InternetLink"/>
                </w:rPr>
                <w:t>Senior Indenture dated as of November  1, 1996 between Capital One Financial Corporation and The Bank of New York Mellon Trust Company, N.A., formerly known as The Bank of New York Trust Company, N.A. (as successor to Harris Trust and Savings Bank), as trustee (incorporated by reference to Exhibit 4.1 of the Company’s Current Report on Form 8-K, filed on November 13, 1996).</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4.2</w:t>
            </w:r>
          </w:p>
        </w:tc>
        <w:tc>
          <w:tcPr>
            <w:tcW w:w="760" w:type="dxa"/>
            <w:tcBorders/>
            <w:vAlign w:val="bottom"/>
          </w:tcPr>
          <w:p>
            <w:pPr>
              <w:pStyle w:val="TableContents"/>
              <w:bidi w:val="0"/>
              <w:spacing w:before="0" w:after="283"/>
              <w:jc w:val="left"/>
              <w:rPr/>
            </w:pPr>
            <w:r>
              <w:rPr/>
              <w:t>  </w:t>
            </w:r>
          </w:p>
        </w:tc>
        <w:tc>
          <w:tcPr>
            <w:tcW w:w="8585" w:type="dxa"/>
            <w:tcBorders/>
          </w:tcPr>
          <w:p>
            <w:pPr>
              <w:pStyle w:val="TableContents"/>
              <w:bidi w:val="0"/>
              <w:spacing w:before="0" w:after="283"/>
              <w:jc w:val="left"/>
              <w:rPr/>
            </w:pPr>
            <w:hyperlink r:id="rId3">
              <w:r>
                <w:rPr>
                  <w:rStyle w:val="InternetLink"/>
                </w:rPr>
                <w:t>First Supplemental Indenture dated as of November 2, 2021 to the Senior Indenture dated as of November  1, 1996 between Capital One Financial Corporation and The Bank of New York Mellon Trust Company, N.A., formerly known as The Bank of New York Trust Company, N.A. (as successor to Harris Trust and Savings Bank), as trustee (incorporated by reference to Exhibit 4.2 of the Company’s Current Report on Form 8-K, filed on November 2, 2021).</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4.3</w:t>
            </w:r>
          </w:p>
        </w:tc>
        <w:tc>
          <w:tcPr>
            <w:tcW w:w="760" w:type="dxa"/>
            <w:tcBorders/>
            <w:vAlign w:val="bottom"/>
          </w:tcPr>
          <w:p>
            <w:pPr>
              <w:pStyle w:val="TableContents"/>
              <w:bidi w:val="0"/>
              <w:spacing w:before="0" w:after="283"/>
              <w:jc w:val="left"/>
              <w:rPr/>
            </w:pPr>
            <w:r>
              <w:rPr/>
              <w:t>  </w:t>
            </w:r>
          </w:p>
        </w:tc>
        <w:tc>
          <w:tcPr>
            <w:tcW w:w="8585" w:type="dxa"/>
            <w:tcBorders/>
          </w:tcPr>
          <w:p>
            <w:pPr>
              <w:pStyle w:val="TableContents"/>
              <w:bidi w:val="0"/>
              <w:spacing w:before="0" w:after="283"/>
              <w:jc w:val="left"/>
              <w:rPr/>
            </w:pPr>
            <w:hyperlink r:id="rId4">
              <w:r>
                <w:rPr>
                  <w:rStyle w:val="InternetLink"/>
                </w:rPr>
                <w:t xml:space="preserve">Form of 4.326% Fixed-to-Floating Rate Senior Note due 2032 (incorporated by reference to Exhibit 4.3 of the Company’s Current Report on Form 8-K, filed on September 15, 2026).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4.4</w:t>
            </w:r>
          </w:p>
        </w:tc>
        <w:tc>
          <w:tcPr>
            <w:tcW w:w="760" w:type="dxa"/>
            <w:tcBorders/>
            <w:vAlign w:val="bottom"/>
          </w:tcPr>
          <w:p>
            <w:pPr>
              <w:pStyle w:val="TableContents"/>
              <w:bidi w:val="0"/>
              <w:spacing w:before="0" w:after="283"/>
              <w:jc w:val="left"/>
              <w:rPr/>
            </w:pPr>
            <w:r>
              <w:rPr/>
              <w:t>  </w:t>
            </w:r>
          </w:p>
        </w:tc>
        <w:tc>
          <w:tcPr>
            <w:tcW w:w="8585" w:type="dxa"/>
            <w:tcBorders/>
          </w:tcPr>
          <w:p>
            <w:pPr>
              <w:pStyle w:val="TableContents"/>
              <w:bidi w:val="0"/>
              <w:spacing w:before="0" w:after="283"/>
              <w:jc w:val="left"/>
              <w:rPr/>
            </w:pPr>
            <w:hyperlink r:id="rId5">
              <w:r>
                <w:rPr>
                  <w:rStyle w:val="InternetLink"/>
                </w:rPr>
                <w:t xml:space="preserve">Form of 4.832% Fixed-to-Floating Rate Senior Note due 2037 (incorporated by reference to Exhibit 4.4 of the Company’s Current Report on Form 8-K, filed on September 15, 2026).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4.5</w:t>
            </w:r>
          </w:p>
        </w:tc>
        <w:tc>
          <w:tcPr>
            <w:tcW w:w="760" w:type="dxa"/>
            <w:tcBorders/>
            <w:vAlign w:val="bottom"/>
          </w:tcPr>
          <w:p>
            <w:pPr>
              <w:pStyle w:val="TableContents"/>
              <w:bidi w:val="0"/>
              <w:spacing w:before="0" w:after="283"/>
              <w:jc w:val="left"/>
              <w:rPr/>
            </w:pPr>
            <w:r>
              <w:rPr/>
              <w:t>  </w:t>
            </w:r>
          </w:p>
        </w:tc>
        <w:tc>
          <w:tcPr>
            <w:tcW w:w="8585" w:type="dxa"/>
            <w:tcBorders/>
          </w:tcPr>
          <w:p>
            <w:pPr>
              <w:pStyle w:val="TableContents"/>
              <w:bidi w:val="0"/>
              <w:spacing w:before="0" w:after="283"/>
              <w:jc w:val="left"/>
              <w:rPr/>
            </w:pPr>
            <w:hyperlink r:id="rId6">
              <w:r>
                <w:rPr>
                  <w:rStyle w:val="InternetLink"/>
                </w:rPr>
                <w:t xml:space="preserve">Paying Agency Agreement dated as of September 15, 2026 between Capital One Financial Corporation and The Bank of New York Mellon, London Branch, as paying agent (incorporated by reference to Exhibit 4.5 of the Company’s Current Report on Form 8-K, filed on September 15,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9"/>
        <w:gridCol w:w="106"/>
        <w:gridCol w:w="400"/>
        <w:gridCol w:w="106"/>
        <w:gridCol w:w="562"/>
        <w:gridCol w:w="106"/>
        <w:gridCol w:w="4486"/>
      </w:tblGrid>
      <w:tr>
        <w:trPr/>
        <w:tc>
          <w:tcPr>
            <w:tcW w:w="443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15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CAPITAL ONE FINANCIAL CORPORATION</w:t>
            </w:r>
          </w:p>
        </w:tc>
      </w:tr>
      <w:tr>
        <w:trPr>
          <w:trHeight w:val="240" w:hRule="atLeast"/>
        </w:trPr>
        <w:tc>
          <w:tcPr>
            <w:tcW w:w="4439" w:type="dxa"/>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668" w:type="dxa"/>
            <w:gridSpan w:val="2"/>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r>
      <w:tr>
        <w:trPr/>
        <w:tc>
          <w:tcPr>
            <w:tcW w:w="4439" w:type="dxa"/>
            <w:tcBorders/>
          </w:tcPr>
          <w:p>
            <w:pPr>
              <w:pStyle w:val="TableContents"/>
              <w:bidi w:val="0"/>
              <w:spacing w:before="0" w:after="283"/>
              <w:jc w:val="left"/>
              <w:rPr/>
            </w:pPr>
            <w:r>
              <w:rPr/>
              <w:t>Date: September 16, 2026</w:t>
            </w:r>
          </w:p>
        </w:tc>
        <w:tc>
          <w:tcPr>
            <w:tcW w:w="106"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62"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86" w:type="dxa"/>
            <w:tcBorders>
              <w:bottom w:val="single" w:sz="2" w:space="0" w:color="000000"/>
            </w:tcBorders>
            <w:tcMar>
              <w:bottom w:w="28" w:type="dxa"/>
            </w:tcMar>
          </w:tcPr>
          <w:p>
            <w:pPr>
              <w:pStyle w:val="TableContents"/>
              <w:bidi w:val="0"/>
              <w:spacing w:before="0" w:after="283"/>
              <w:jc w:val="left"/>
              <w:rPr/>
            </w:pPr>
            <w:r>
              <w:rPr/>
              <w:t>/s/ Matthew W. Cooper</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6" w:type="dxa"/>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Matthew W. Cooper</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6" w:type="dxa"/>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Counsel and Corporate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27628/0000950133-96-002502.txt" TargetMode="External"/><Relationship Id="rId3" Type="http://schemas.openxmlformats.org/officeDocument/2006/relationships/hyperlink" Target="http://www.sec.gov/Archives/edgar/data/927628/000119312521317061/d162873dex42.htm" TargetMode="External"/><Relationship Id="rId4" Type="http://schemas.openxmlformats.org/officeDocument/2006/relationships/hyperlink" Target="http://www.sec.gov/Archives/edgar/data/927628/000119312526391921/d458116dex43.htm" TargetMode="External"/><Relationship Id="rId5" Type="http://schemas.openxmlformats.org/officeDocument/2006/relationships/hyperlink" Target="http://www.sec.gov/Archives/edgar/data/927628/000119312526391921/d458116dex44.htm" TargetMode="External"/><Relationship Id="rId6" Type="http://schemas.openxmlformats.org/officeDocument/2006/relationships/hyperlink" Target="http://www.sec.gov/Archives/edgar/data/927628/000119312526391921/d458116dex4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741</Words>
  <Characters>4003</Characters>
  <CharactersWithSpaces>4761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